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29"/>
        <w:gridCol w:w="3447"/>
        <w:gridCol w:w="4887"/>
        <w:gridCol w:w="1586"/>
        <w:gridCol w:w="1701"/>
      </w:tblGrid>
      <w:tr w:rsidR="009E4B85" w14:paraId="24094AD9" w14:textId="77777777" w:rsidTr="00BF015D">
        <w:trPr>
          <w:tblHeader/>
        </w:trPr>
        <w:tc>
          <w:tcPr>
            <w:tcW w:w="1329" w:type="dxa"/>
            <w:vMerge w:val="restart"/>
            <w:shd w:val="clear" w:color="auto" w:fill="C6D9F1" w:themeFill="text2" w:themeFillTint="33"/>
            <w:vAlign w:val="center"/>
          </w:tcPr>
          <w:p w14:paraId="0C4A8897" w14:textId="77777777" w:rsidR="009E4B85" w:rsidRPr="001C42C6" w:rsidRDefault="009E4B85" w:rsidP="009E4B85">
            <w:pPr>
              <w:jc w:val="center"/>
              <w:rPr>
                <w:b/>
                <w:caps/>
              </w:rPr>
            </w:pPr>
            <w:r w:rsidRPr="001C42C6">
              <w:rPr>
                <w:b/>
                <w:caps/>
              </w:rPr>
              <w:t>Question Number</w:t>
            </w:r>
          </w:p>
        </w:tc>
        <w:tc>
          <w:tcPr>
            <w:tcW w:w="3447" w:type="dxa"/>
            <w:vMerge w:val="restart"/>
            <w:shd w:val="clear" w:color="auto" w:fill="C6D9F1" w:themeFill="text2" w:themeFillTint="33"/>
            <w:vAlign w:val="center"/>
          </w:tcPr>
          <w:p w14:paraId="2266D19D" w14:textId="77777777" w:rsidR="009E4B85" w:rsidRPr="001C42C6" w:rsidRDefault="009E4B85" w:rsidP="009E4B85">
            <w:pPr>
              <w:jc w:val="center"/>
              <w:rPr>
                <w:b/>
                <w:caps/>
              </w:rPr>
            </w:pPr>
            <w:r w:rsidRPr="001C42C6">
              <w:rPr>
                <w:b/>
                <w:caps/>
              </w:rPr>
              <w:t>Original Question</w:t>
            </w:r>
          </w:p>
        </w:tc>
        <w:tc>
          <w:tcPr>
            <w:tcW w:w="4887" w:type="dxa"/>
            <w:vMerge w:val="restart"/>
            <w:shd w:val="clear" w:color="auto" w:fill="C6D9F1" w:themeFill="text2" w:themeFillTint="33"/>
            <w:vAlign w:val="center"/>
          </w:tcPr>
          <w:p w14:paraId="5D8435D2" w14:textId="77777777" w:rsidR="009E4B85" w:rsidRPr="001C42C6" w:rsidRDefault="009E4B85" w:rsidP="009E4B85">
            <w:pPr>
              <w:jc w:val="center"/>
              <w:rPr>
                <w:b/>
                <w:caps/>
              </w:rPr>
            </w:pPr>
            <w:r w:rsidRPr="001C42C6">
              <w:rPr>
                <w:b/>
                <w:caps/>
              </w:rPr>
              <w:t>Response to Original Question</w:t>
            </w:r>
          </w:p>
        </w:tc>
        <w:tc>
          <w:tcPr>
            <w:tcW w:w="3287" w:type="dxa"/>
            <w:gridSpan w:val="2"/>
            <w:tcBorders>
              <w:bottom w:val="single" w:sz="4" w:space="0" w:color="auto"/>
            </w:tcBorders>
            <w:shd w:val="clear" w:color="auto" w:fill="C6D9F1" w:themeFill="text2" w:themeFillTint="33"/>
          </w:tcPr>
          <w:p w14:paraId="3411A590" w14:textId="038A2400" w:rsidR="009E4B85" w:rsidRPr="001C42C6" w:rsidRDefault="009E4B85" w:rsidP="009E4B85">
            <w:pPr>
              <w:jc w:val="center"/>
              <w:rPr>
                <w:b/>
                <w:caps/>
              </w:rPr>
            </w:pPr>
            <w:r w:rsidRPr="001C42C6">
              <w:rPr>
                <w:b/>
                <w:caps/>
              </w:rPr>
              <w:t>RF</w:t>
            </w:r>
            <w:r w:rsidR="00066A07">
              <w:rPr>
                <w:b/>
                <w:caps/>
              </w:rPr>
              <w:t>A</w:t>
            </w:r>
            <w:r w:rsidRPr="001C42C6">
              <w:rPr>
                <w:b/>
                <w:caps/>
              </w:rPr>
              <w:t xml:space="preserve"> Referencing Information</w:t>
            </w:r>
          </w:p>
        </w:tc>
      </w:tr>
      <w:tr w:rsidR="009E4B85" w14:paraId="06589946" w14:textId="77777777" w:rsidTr="00BF015D">
        <w:trPr>
          <w:tblHeader/>
        </w:trPr>
        <w:tc>
          <w:tcPr>
            <w:tcW w:w="1329" w:type="dxa"/>
            <w:vMerge/>
            <w:shd w:val="clear" w:color="auto" w:fill="C6D9F1" w:themeFill="text2" w:themeFillTint="33"/>
          </w:tcPr>
          <w:p w14:paraId="13892FE4" w14:textId="77777777" w:rsidR="009E4B85" w:rsidRDefault="009E4B85" w:rsidP="009E4B85">
            <w:pPr>
              <w:jc w:val="center"/>
            </w:pPr>
          </w:p>
        </w:tc>
        <w:tc>
          <w:tcPr>
            <w:tcW w:w="3447" w:type="dxa"/>
            <w:vMerge/>
            <w:shd w:val="clear" w:color="auto" w:fill="C6D9F1" w:themeFill="text2" w:themeFillTint="33"/>
          </w:tcPr>
          <w:p w14:paraId="10FEF521" w14:textId="77777777" w:rsidR="009E4B85" w:rsidRDefault="009E4B85" w:rsidP="009E4B85">
            <w:pPr>
              <w:jc w:val="center"/>
            </w:pPr>
          </w:p>
        </w:tc>
        <w:tc>
          <w:tcPr>
            <w:tcW w:w="4887" w:type="dxa"/>
            <w:vMerge/>
            <w:shd w:val="clear" w:color="auto" w:fill="C6D9F1" w:themeFill="text2" w:themeFillTint="33"/>
          </w:tcPr>
          <w:p w14:paraId="200EA86A" w14:textId="77777777" w:rsidR="009E4B85" w:rsidRDefault="009E4B85" w:rsidP="009E4B85">
            <w:pPr>
              <w:jc w:val="center"/>
            </w:pPr>
          </w:p>
        </w:tc>
        <w:tc>
          <w:tcPr>
            <w:tcW w:w="1586" w:type="dxa"/>
            <w:tcBorders>
              <w:top w:val="single" w:sz="4" w:space="0" w:color="auto"/>
            </w:tcBorders>
            <w:shd w:val="clear" w:color="auto" w:fill="C6D9F1" w:themeFill="text2" w:themeFillTint="33"/>
            <w:vAlign w:val="bottom"/>
          </w:tcPr>
          <w:p w14:paraId="6D5FB18A" w14:textId="73AE4A17" w:rsidR="009E4B85" w:rsidRPr="001C42C6" w:rsidRDefault="009E4B85" w:rsidP="009E4B85">
            <w:pPr>
              <w:jc w:val="center"/>
              <w:rPr>
                <w:b/>
                <w:sz w:val="19"/>
                <w:szCs w:val="19"/>
              </w:rPr>
            </w:pPr>
            <w:r w:rsidRPr="001C42C6">
              <w:rPr>
                <w:b/>
                <w:sz w:val="19"/>
                <w:szCs w:val="19"/>
              </w:rPr>
              <w:t>RF</w:t>
            </w:r>
            <w:r w:rsidR="00066A07">
              <w:rPr>
                <w:b/>
                <w:sz w:val="19"/>
                <w:szCs w:val="19"/>
              </w:rPr>
              <w:t>A</w:t>
            </w:r>
            <w:r w:rsidRPr="001C42C6">
              <w:rPr>
                <w:b/>
                <w:sz w:val="19"/>
                <w:szCs w:val="19"/>
              </w:rPr>
              <w:t xml:space="preserve"> Section</w:t>
            </w:r>
          </w:p>
        </w:tc>
        <w:tc>
          <w:tcPr>
            <w:tcW w:w="1701" w:type="dxa"/>
            <w:tcBorders>
              <w:top w:val="single" w:sz="4" w:space="0" w:color="auto"/>
            </w:tcBorders>
            <w:shd w:val="clear" w:color="auto" w:fill="C6D9F1" w:themeFill="text2" w:themeFillTint="33"/>
            <w:vAlign w:val="bottom"/>
          </w:tcPr>
          <w:p w14:paraId="0B2ADC78" w14:textId="2D396F59" w:rsidR="009E4B85" w:rsidRPr="001C42C6" w:rsidRDefault="009E4B85" w:rsidP="009E4B85">
            <w:pPr>
              <w:jc w:val="center"/>
              <w:rPr>
                <w:b/>
                <w:sz w:val="19"/>
                <w:szCs w:val="19"/>
              </w:rPr>
            </w:pPr>
            <w:r w:rsidRPr="001C42C6">
              <w:rPr>
                <w:b/>
                <w:sz w:val="19"/>
                <w:szCs w:val="19"/>
              </w:rPr>
              <w:t>RF</w:t>
            </w:r>
            <w:r w:rsidR="00066A07">
              <w:rPr>
                <w:b/>
                <w:sz w:val="19"/>
                <w:szCs w:val="19"/>
              </w:rPr>
              <w:t xml:space="preserve">A </w:t>
            </w:r>
            <w:r w:rsidRPr="001C42C6">
              <w:rPr>
                <w:b/>
                <w:sz w:val="19"/>
                <w:szCs w:val="19"/>
              </w:rPr>
              <w:t>Page Number</w:t>
            </w:r>
          </w:p>
        </w:tc>
      </w:tr>
      <w:tr w:rsidR="009E4B85" w14:paraId="26E0C973" w14:textId="77777777" w:rsidTr="00BF015D">
        <w:tc>
          <w:tcPr>
            <w:tcW w:w="1329" w:type="dxa"/>
            <w:vAlign w:val="center"/>
          </w:tcPr>
          <w:p w14:paraId="0FFCD651" w14:textId="77777777" w:rsidR="009E4B85" w:rsidRDefault="001C42C6" w:rsidP="00ED70C4">
            <w:pPr>
              <w:jc w:val="center"/>
            </w:pPr>
            <w:r>
              <w:t>1</w:t>
            </w:r>
          </w:p>
        </w:tc>
        <w:tc>
          <w:tcPr>
            <w:tcW w:w="3447" w:type="dxa"/>
            <w:vAlign w:val="center"/>
          </w:tcPr>
          <w:p w14:paraId="71B6AAA1" w14:textId="59F3DD24" w:rsidR="009E4B85" w:rsidRDefault="00D95D02" w:rsidP="004D77E7">
            <w:pPr>
              <w:spacing w:after="200" w:line="276" w:lineRule="auto"/>
            </w:pPr>
            <w:r>
              <w:t xml:space="preserve">Does the Section 319 funding opportunity include Wetlands Action Plans (WAP) implementation? </w:t>
            </w:r>
          </w:p>
        </w:tc>
        <w:tc>
          <w:tcPr>
            <w:tcW w:w="4887" w:type="dxa"/>
            <w:vAlign w:val="center"/>
          </w:tcPr>
          <w:p w14:paraId="07BCCE17" w14:textId="09749850" w:rsidR="009E4B85" w:rsidRDefault="00066A07" w:rsidP="00ED70C4">
            <w:r>
              <w:t xml:space="preserve">Yes, implementation projects from Wetlands Action Plans (WAPs) are eligible for funding in the FY 2025 Section 319 Watershed Implementation Projects Request for Applications. </w:t>
            </w:r>
          </w:p>
        </w:tc>
        <w:tc>
          <w:tcPr>
            <w:tcW w:w="1586" w:type="dxa"/>
            <w:vAlign w:val="center"/>
          </w:tcPr>
          <w:p w14:paraId="713AF589" w14:textId="02C31A7B" w:rsidR="009E4B85" w:rsidRDefault="00205932" w:rsidP="00ED70C4">
            <w:pPr>
              <w:jc w:val="center"/>
            </w:pPr>
            <w:r>
              <w:t>1. Program Overview; and 3. Eligibility</w:t>
            </w:r>
          </w:p>
        </w:tc>
        <w:tc>
          <w:tcPr>
            <w:tcW w:w="1701" w:type="dxa"/>
            <w:vAlign w:val="center"/>
          </w:tcPr>
          <w:p w14:paraId="7DEA76E9" w14:textId="39108CBD" w:rsidR="009E4B85" w:rsidRDefault="00205932" w:rsidP="00ED70C4">
            <w:pPr>
              <w:jc w:val="center"/>
            </w:pPr>
            <w:r>
              <w:t xml:space="preserve">Page </w:t>
            </w:r>
            <w:r w:rsidR="00841615">
              <w:t>3 and 4</w:t>
            </w:r>
          </w:p>
        </w:tc>
      </w:tr>
      <w:tr w:rsidR="00DE4A2E" w14:paraId="00C03995" w14:textId="77777777" w:rsidTr="00BF015D">
        <w:tc>
          <w:tcPr>
            <w:tcW w:w="1329" w:type="dxa"/>
            <w:vAlign w:val="center"/>
          </w:tcPr>
          <w:p w14:paraId="189CFD8C" w14:textId="77777777" w:rsidR="00DE4A2E" w:rsidRDefault="00DE4A2E" w:rsidP="00ED70C4">
            <w:pPr>
              <w:jc w:val="center"/>
            </w:pPr>
            <w:r>
              <w:t>2</w:t>
            </w:r>
          </w:p>
        </w:tc>
        <w:tc>
          <w:tcPr>
            <w:tcW w:w="3447" w:type="dxa"/>
            <w:vAlign w:val="center"/>
          </w:tcPr>
          <w:p w14:paraId="59B7A33F" w14:textId="649E8E08" w:rsidR="00DE4A2E" w:rsidRPr="00DE4A2E" w:rsidRDefault="000315A9" w:rsidP="004D77E7">
            <w:pPr>
              <w:spacing w:after="200" w:line="276" w:lineRule="auto"/>
            </w:pPr>
            <w:r>
              <w:t>Do we need to meet all</w:t>
            </w:r>
            <w:r w:rsidR="009E14EB">
              <w:t xml:space="preserve"> or at least </w:t>
            </w:r>
            <w:r w:rsidR="00744CDB">
              <w:t>one of</w:t>
            </w:r>
            <w:r>
              <w:t xml:space="preserve"> the criteria listed in </w:t>
            </w:r>
            <w:r w:rsidR="006F79E6">
              <w:t xml:space="preserve">Section 3. Eligibility, </w:t>
            </w:r>
            <w:r w:rsidR="00C504B6">
              <w:t xml:space="preserve">#5 – </w:t>
            </w:r>
            <w:r w:rsidR="00A542A5">
              <w:t>“</w:t>
            </w:r>
            <w:r w:rsidR="00C504B6">
              <w:t>A</w:t>
            </w:r>
            <w:r w:rsidR="00A542A5">
              <w:t>U</w:t>
            </w:r>
            <w:r w:rsidR="00C504B6">
              <w:t>s or other stream sections impacted by wildfire, that me</w:t>
            </w:r>
            <w:r w:rsidR="00A542A5">
              <w:t>et these requirements:</w:t>
            </w:r>
            <w:r w:rsidR="002A0C77">
              <w:t xml:space="preserve"> a) The fire occurred in 2023</w:t>
            </w:r>
            <w:r w:rsidR="006F48A7">
              <w:t xml:space="preserve"> or 2024</w:t>
            </w:r>
            <w:r w:rsidR="002A0C77">
              <w:t xml:space="preserve">, b) the fire occurred outside the range of natural variability for affected forest types… c) the burned area is at least partly in the watershed of one or more waters with a </w:t>
            </w:r>
            <w:proofErr w:type="spellStart"/>
            <w:r w:rsidR="002A0C77">
              <w:t>coldwater</w:t>
            </w:r>
            <w:proofErr w:type="spellEnd"/>
            <w:r w:rsidR="002A0C77">
              <w:t xml:space="preserve"> or cool water designated use</w:t>
            </w:r>
            <w:r w:rsidR="00DD4F82">
              <w:t>, d)</w:t>
            </w:r>
            <w:r w:rsidR="009E14EB">
              <w:t xml:space="preserve"> the burn area is 5,000 acres or more, as determined by the agency which managed the wildfire.”</w:t>
            </w:r>
          </w:p>
        </w:tc>
        <w:tc>
          <w:tcPr>
            <w:tcW w:w="4887" w:type="dxa"/>
            <w:vAlign w:val="center"/>
          </w:tcPr>
          <w:p w14:paraId="74FE9B59" w14:textId="37A4E4E7" w:rsidR="00DE4A2E" w:rsidRPr="00DE4A2E" w:rsidRDefault="00744CDB" w:rsidP="00ED70C4">
            <w:r>
              <w:t xml:space="preserve">If the project area is </w:t>
            </w:r>
            <w:proofErr w:type="gramStart"/>
            <w:r>
              <w:t>qualifying</w:t>
            </w:r>
            <w:proofErr w:type="gramEnd"/>
            <w:r>
              <w:t xml:space="preserve"> under Eligibility #5, </w:t>
            </w:r>
            <w:proofErr w:type="gramStart"/>
            <w:r>
              <w:t>all of</w:t>
            </w:r>
            <w:proofErr w:type="gramEnd"/>
            <w:r>
              <w:t xml:space="preserve"> the criteria (a through d) listed in #5 must be met. </w:t>
            </w:r>
            <w:r w:rsidR="006F48A7">
              <w:t xml:space="preserve">The RFA was amended on February 10, </w:t>
            </w:r>
            <w:proofErr w:type="gramStart"/>
            <w:r w:rsidR="006F48A7">
              <w:t>2025</w:t>
            </w:r>
            <w:proofErr w:type="gramEnd"/>
            <w:r w:rsidR="006F48A7">
              <w:t xml:space="preserve"> to replace item, “a) the fire occurred in 2023 or 2024” with “a) the fire occurred in 2020 or later.”</w:t>
            </w:r>
          </w:p>
        </w:tc>
        <w:tc>
          <w:tcPr>
            <w:tcW w:w="1586" w:type="dxa"/>
            <w:vAlign w:val="center"/>
          </w:tcPr>
          <w:p w14:paraId="669AA203" w14:textId="1E20B266" w:rsidR="00DE4A2E" w:rsidRPr="00DE4A2E" w:rsidRDefault="00362F13" w:rsidP="00ED70C4">
            <w:pPr>
              <w:jc w:val="center"/>
            </w:pPr>
            <w:r>
              <w:t>3. Eligibility</w:t>
            </w:r>
          </w:p>
        </w:tc>
        <w:tc>
          <w:tcPr>
            <w:tcW w:w="1701" w:type="dxa"/>
            <w:vAlign w:val="center"/>
          </w:tcPr>
          <w:p w14:paraId="55463085" w14:textId="1D48189C" w:rsidR="00DE4A2E" w:rsidRPr="00DE4A2E" w:rsidRDefault="00362F13" w:rsidP="00ED70C4">
            <w:pPr>
              <w:jc w:val="center"/>
            </w:pPr>
            <w:proofErr w:type="gramStart"/>
            <w:r>
              <w:t>Page</w:t>
            </w:r>
            <w:proofErr w:type="gramEnd"/>
            <w:r>
              <w:t xml:space="preserve"> 4 and 5</w:t>
            </w:r>
          </w:p>
        </w:tc>
      </w:tr>
      <w:tr w:rsidR="0047589A" w14:paraId="142A160F" w14:textId="77777777" w:rsidTr="00BF015D">
        <w:tc>
          <w:tcPr>
            <w:tcW w:w="1329" w:type="dxa"/>
            <w:vAlign w:val="center"/>
          </w:tcPr>
          <w:p w14:paraId="696DC5BE" w14:textId="77777777" w:rsidR="0047589A" w:rsidRDefault="0047589A" w:rsidP="00ED70C4">
            <w:pPr>
              <w:jc w:val="center"/>
            </w:pPr>
            <w:r>
              <w:t>3</w:t>
            </w:r>
          </w:p>
        </w:tc>
        <w:tc>
          <w:tcPr>
            <w:tcW w:w="3447" w:type="dxa"/>
            <w:vAlign w:val="center"/>
          </w:tcPr>
          <w:p w14:paraId="33480834" w14:textId="0D6865AF" w:rsidR="0047589A" w:rsidRPr="00DE4A2E" w:rsidRDefault="006F48A7" w:rsidP="004D77E7">
            <w:pPr>
              <w:spacing w:after="200" w:line="276" w:lineRule="auto"/>
              <w:rPr>
                <w:rFonts w:ascii="Calibri" w:eastAsia="Times New Roman" w:hAnsi="Calibri"/>
                <w:color w:val="000000"/>
              </w:rPr>
            </w:pPr>
            <w:r>
              <w:rPr>
                <w:rFonts w:ascii="Calibri" w:eastAsia="Times New Roman" w:hAnsi="Calibri"/>
                <w:color w:val="000000"/>
              </w:rPr>
              <w:t>If we are not an approved vendor on price agreement #40-00000-23-00037, can we still apply for the RFA?</w:t>
            </w:r>
          </w:p>
        </w:tc>
        <w:tc>
          <w:tcPr>
            <w:tcW w:w="4887" w:type="dxa"/>
            <w:vAlign w:val="center"/>
          </w:tcPr>
          <w:p w14:paraId="6D6F93B2" w14:textId="11CC9639" w:rsidR="0047589A" w:rsidRPr="00DE4A2E" w:rsidRDefault="006F48A7" w:rsidP="00ED70C4">
            <w:r>
              <w:t xml:space="preserve">Only local public bodies and organizations active on a statewide price agreement with applicable services to this RFA (e.g., the Riparian, Aquatic, and Wetland Restoration Services price agreement #40-00000-23-00037) are eligible to apply for funding in this RFA. If your organization does not meet these eligibilities, NMED recommends working with an organization that is eligible as a fiscal agent to submit your application.  </w:t>
            </w:r>
          </w:p>
        </w:tc>
        <w:tc>
          <w:tcPr>
            <w:tcW w:w="1586" w:type="dxa"/>
            <w:vAlign w:val="center"/>
          </w:tcPr>
          <w:p w14:paraId="6C820793" w14:textId="583B1A9F" w:rsidR="0047589A" w:rsidRDefault="006F48A7" w:rsidP="00ED70C4">
            <w:pPr>
              <w:jc w:val="center"/>
            </w:pPr>
            <w:r>
              <w:t>3. Eligibility</w:t>
            </w:r>
          </w:p>
        </w:tc>
        <w:tc>
          <w:tcPr>
            <w:tcW w:w="1701" w:type="dxa"/>
            <w:vAlign w:val="center"/>
          </w:tcPr>
          <w:p w14:paraId="5369929B" w14:textId="7A1827F4" w:rsidR="0047589A" w:rsidRDefault="006F48A7" w:rsidP="00ED70C4">
            <w:pPr>
              <w:jc w:val="center"/>
            </w:pPr>
            <w:proofErr w:type="gramStart"/>
            <w:r>
              <w:t>Page</w:t>
            </w:r>
            <w:proofErr w:type="gramEnd"/>
            <w:r>
              <w:t xml:space="preserve"> 4 and 5</w:t>
            </w:r>
          </w:p>
        </w:tc>
      </w:tr>
      <w:tr w:rsidR="0047589A" w14:paraId="616BC946" w14:textId="77777777" w:rsidTr="00BF015D">
        <w:tc>
          <w:tcPr>
            <w:tcW w:w="1329" w:type="dxa"/>
            <w:vAlign w:val="center"/>
          </w:tcPr>
          <w:p w14:paraId="2D9CF772" w14:textId="77777777" w:rsidR="0047589A" w:rsidRDefault="0047589A" w:rsidP="00ED70C4">
            <w:pPr>
              <w:jc w:val="center"/>
            </w:pPr>
            <w:r>
              <w:lastRenderedPageBreak/>
              <w:t>4</w:t>
            </w:r>
          </w:p>
        </w:tc>
        <w:tc>
          <w:tcPr>
            <w:tcW w:w="3447" w:type="dxa"/>
            <w:vAlign w:val="center"/>
          </w:tcPr>
          <w:p w14:paraId="79CD9A84" w14:textId="25921909" w:rsidR="0047589A" w:rsidRPr="00DE4A2E" w:rsidRDefault="006F48A7" w:rsidP="004D77E7">
            <w:pPr>
              <w:spacing w:after="200" w:line="276" w:lineRule="auto"/>
              <w:rPr>
                <w:rFonts w:ascii="Calibri" w:eastAsia="Times New Roman" w:hAnsi="Calibri"/>
                <w:color w:val="000000"/>
              </w:rPr>
            </w:pPr>
            <w:r>
              <w:rPr>
                <w:rFonts w:ascii="Calibri" w:eastAsia="Times New Roman" w:hAnsi="Calibri"/>
                <w:color w:val="000000"/>
              </w:rPr>
              <w:t>What is the average project amount that will be granted?</w:t>
            </w:r>
          </w:p>
        </w:tc>
        <w:tc>
          <w:tcPr>
            <w:tcW w:w="4887" w:type="dxa"/>
            <w:vAlign w:val="center"/>
          </w:tcPr>
          <w:p w14:paraId="5FADAC71" w14:textId="37541541" w:rsidR="0047589A" w:rsidRPr="00DE4A2E" w:rsidRDefault="006F48A7" w:rsidP="00ED70C4">
            <w:r>
              <w:t xml:space="preserve">The average project </w:t>
            </w:r>
            <w:r w:rsidR="00122E11">
              <w:t>grant</w:t>
            </w:r>
            <w:r>
              <w:t xml:space="preserve">, including </w:t>
            </w:r>
            <w:r w:rsidR="00122E11">
              <w:t>Clean Water Act Section 319 federal funds only</w:t>
            </w:r>
            <w:r>
              <w:t>, for</w:t>
            </w:r>
            <w:r w:rsidR="00122E11">
              <w:t xml:space="preserve"> the</w:t>
            </w:r>
            <w:r>
              <w:t xml:space="preserve"> Section 319 implementation projects </w:t>
            </w:r>
            <w:r w:rsidR="00122E11">
              <w:t xml:space="preserve">over the last 4 years is approximately $345,000. This does not include non-federal matching funds. </w:t>
            </w:r>
          </w:p>
        </w:tc>
        <w:tc>
          <w:tcPr>
            <w:tcW w:w="1586" w:type="dxa"/>
            <w:vAlign w:val="center"/>
          </w:tcPr>
          <w:p w14:paraId="24BD59DF" w14:textId="44A3B562" w:rsidR="0047589A" w:rsidRDefault="00122E11" w:rsidP="00ED70C4">
            <w:pPr>
              <w:jc w:val="center"/>
            </w:pPr>
            <w:r>
              <w:t>N/A</w:t>
            </w:r>
          </w:p>
        </w:tc>
        <w:tc>
          <w:tcPr>
            <w:tcW w:w="1701" w:type="dxa"/>
            <w:vAlign w:val="center"/>
          </w:tcPr>
          <w:p w14:paraId="0F2D8C4B" w14:textId="4BEA0D6F" w:rsidR="0047589A" w:rsidRDefault="00122E11" w:rsidP="00ED70C4">
            <w:pPr>
              <w:jc w:val="center"/>
            </w:pPr>
            <w:r>
              <w:t>N/A</w:t>
            </w:r>
          </w:p>
        </w:tc>
      </w:tr>
      <w:tr w:rsidR="00DE4A2E" w14:paraId="61A5894C" w14:textId="77777777" w:rsidTr="00BF015D">
        <w:tc>
          <w:tcPr>
            <w:tcW w:w="1329" w:type="dxa"/>
            <w:vAlign w:val="center"/>
          </w:tcPr>
          <w:p w14:paraId="7F156CD3" w14:textId="77777777" w:rsidR="00DE4A2E" w:rsidRDefault="00DE4A2E" w:rsidP="00ED70C4">
            <w:pPr>
              <w:jc w:val="center"/>
            </w:pPr>
            <w:r>
              <w:t>5</w:t>
            </w:r>
          </w:p>
        </w:tc>
        <w:tc>
          <w:tcPr>
            <w:tcW w:w="3447" w:type="dxa"/>
            <w:vAlign w:val="center"/>
          </w:tcPr>
          <w:p w14:paraId="73FCD828" w14:textId="76730B80" w:rsidR="00DE4A2E" w:rsidRPr="00DE4A2E" w:rsidRDefault="00122E11" w:rsidP="004D77E7">
            <w:pPr>
              <w:spacing w:after="200" w:line="276" w:lineRule="auto"/>
              <w:rPr>
                <w:rFonts w:ascii="Calibri" w:eastAsia="Times New Roman" w:hAnsi="Calibri"/>
                <w:color w:val="000000"/>
              </w:rPr>
            </w:pPr>
            <w:r>
              <w:rPr>
                <w:rFonts w:ascii="Calibri" w:eastAsia="Times New Roman" w:hAnsi="Calibri"/>
                <w:color w:val="000000"/>
              </w:rPr>
              <w:t>What is the amount of funding available in this RFA?</w:t>
            </w:r>
          </w:p>
        </w:tc>
        <w:tc>
          <w:tcPr>
            <w:tcW w:w="4887" w:type="dxa"/>
            <w:vAlign w:val="center"/>
          </w:tcPr>
          <w:p w14:paraId="45FD59F6" w14:textId="750686F0" w:rsidR="00DE4A2E" w:rsidRPr="00DE4A2E" w:rsidRDefault="00122E11" w:rsidP="00ED70C4">
            <w:r>
              <w:t>There is approximately $1,000,000 of Clean Water Act Section 319 federal funds available for projects in this RFA.</w:t>
            </w:r>
          </w:p>
        </w:tc>
        <w:tc>
          <w:tcPr>
            <w:tcW w:w="1586" w:type="dxa"/>
            <w:vAlign w:val="center"/>
          </w:tcPr>
          <w:p w14:paraId="23710DB5" w14:textId="0D9369A9" w:rsidR="00DE4A2E" w:rsidRPr="00DE4A2E" w:rsidRDefault="00122E11" w:rsidP="00ED70C4">
            <w:pPr>
              <w:jc w:val="center"/>
            </w:pPr>
            <w:r>
              <w:t>2. Funding</w:t>
            </w:r>
          </w:p>
        </w:tc>
        <w:tc>
          <w:tcPr>
            <w:tcW w:w="1701" w:type="dxa"/>
            <w:vAlign w:val="center"/>
          </w:tcPr>
          <w:p w14:paraId="43279C57" w14:textId="16FAE88A" w:rsidR="00DE4A2E" w:rsidRPr="00DE4A2E" w:rsidRDefault="00122E11" w:rsidP="00ED70C4">
            <w:pPr>
              <w:jc w:val="center"/>
            </w:pPr>
            <w:r>
              <w:t>Page 3 and 4</w:t>
            </w:r>
          </w:p>
        </w:tc>
      </w:tr>
      <w:tr w:rsidR="00DE4A2E" w14:paraId="2B1F1DB7" w14:textId="77777777" w:rsidTr="00BF015D">
        <w:tc>
          <w:tcPr>
            <w:tcW w:w="1329" w:type="dxa"/>
            <w:vAlign w:val="center"/>
          </w:tcPr>
          <w:p w14:paraId="269124B1" w14:textId="77777777" w:rsidR="00DE4A2E" w:rsidRDefault="00DE4A2E" w:rsidP="00ED70C4">
            <w:pPr>
              <w:jc w:val="center"/>
            </w:pPr>
            <w:r>
              <w:t>6</w:t>
            </w:r>
          </w:p>
        </w:tc>
        <w:tc>
          <w:tcPr>
            <w:tcW w:w="3447" w:type="dxa"/>
            <w:vAlign w:val="center"/>
          </w:tcPr>
          <w:p w14:paraId="29396C59" w14:textId="64E0E44F" w:rsidR="00DE4A2E" w:rsidRPr="00E963F5" w:rsidRDefault="00E963F5" w:rsidP="004D77E7">
            <w:pPr>
              <w:spacing w:after="200" w:line="276" w:lineRule="auto"/>
              <w:rPr>
                <w:rFonts w:eastAsia="Times New Roman"/>
              </w:rPr>
            </w:pPr>
            <w:r>
              <w:rPr>
                <w:rFonts w:eastAsia="Times New Roman"/>
              </w:rPr>
              <w:t xml:space="preserve">Is our project eligible for funding if we meet all criteria listed in Section 3. </w:t>
            </w:r>
            <w:proofErr w:type="gramStart"/>
            <w:r>
              <w:rPr>
                <w:rFonts w:eastAsia="Times New Roman"/>
              </w:rPr>
              <w:t>Eligibility, #</w:t>
            </w:r>
            <w:proofErr w:type="gramEnd"/>
            <w:r>
              <w:rPr>
                <w:rFonts w:eastAsia="Times New Roman"/>
              </w:rPr>
              <w:t xml:space="preserve">5? </w:t>
            </w:r>
          </w:p>
        </w:tc>
        <w:tc>
          <w:tcPr>
            <w:tcW w:w="4887" w:type="dxa"/>
            <w:vAlign w:val="center"/>
          </w:tcPr>
          <w:p w14:paraId="1AFE6834" w14:textId="331603AA" w:rsidR="00DE4A2E" w:rsidRPr="00F5060D" w:rsidRDefault="00727FF7" w:rsidP="00ED70C4">
            <w:r>
              <w:t>Yes.</w:t>
            </w:r>
          </w:p>
        </w:tc>
        <w:tc>
          <w:tcPr>
            <w:tcW w:w="1586" w:type="dxa"/>
            <w:vAlign w:val="center"/>
          </w:tcPr>
          <w:p w14:paraId="2CF04C83" w14:textId="08AF1A34" w:rsidR="00DE4A2E" w:rsidRPr="00E963F5" w:rsidRDefault="00E963F5" w:rsidP="00ED70C4">
            <w:pPr>
              <w:jc w:val="center"/>
            </w:pPr>
            <w:r w:rsidRPr="00E963F5">
              <w:t>3. Eligibility</w:t>
            </w:r>
          </w:p>
        </w:tc>
        <w:tc>
          <w:tcPr>
            <w:tcW w:w="1701" w:type="dxa"/>
            <w:vAlign w:val="center"/>
          </w:tcPr>
          <w:p w14:paraId="19B40B38" w14:textId="75593E85" w:rsidR="00DE4A2E" w:rsidRPr="00E963F5" w:rsidRDefault="00E963F5" w:rsidP="00ED70C4">
            <w:pPr>
              <w:jc w:val="center"/>
            </w:pPr>
            <w:proofErr w:type="gramStart"/>
            <w:r w:rsidRPr="00E963F5">
              <w:t>Page</w:t>
            </w:r>
            <w:proofErr w:type="gramEnd"/>
            <w:r w:rsidRPr="00E963F5">
              <w:t xml:space="preserve"> 4 and 5</w:t>
            </w:r>
          </w:p>
        </w:tc>
      </w:tr>
      <w:tr w:rsidR="00DE4A2E" w14:paraId="12F5F0F7" w14:textId="77777777" w:rsidTr="00BF015D">
        <w:tc>
          <w:tcPr>
            <w:tcW w:w="1329" w:type="dxa"/>
            <w:vAlign w:val="center"/>
          </w:tcPr>
          <w:p w14:paraId="63C3BC10" w14:textId="77777777" w:rsidR="00DE4A2E" w:rsidRDefault="00DE4A2E" w:rsidP="00ED70C4">
            <w:pPr>
              <w:jc w:val="center"/>
            </w:pPr>
            <w:r>
              <w:t>7</w:t>
            </w:r>
          </w:p>
        </w:tc>
        <w:tc>
          <w:tcPr>
            <w:tcW w:w="3447" w:type="dxa"/>
            <w:vAlign w:val="center"/>
          </w:tcPr>
          <w:p w14:paraId="67128FB2" w14:textId="4A495628" w:rsidR="00DE4A2E" w:rsidRPr="00322F20" w:rsidRDefault="00E963F5" w:rsidP="004D77E7">
            <w:pPr>
              <w:spacing w:after="200" w:line="276" w:lineRule="auto"/>
              <w:rPr>
                <w:rFonts w:eastAsia="Times New Roman"/>
              </w:rPr>
            </w:pPr>
            <w:r w:rsidRPr="00322F20">
              <w:rPr>
                <w:rFonts w:eastAsia="Times New Roman"/>
              </w:rPr>
              <w:t xml:space="preserve">Does a Post-fire Response Plan need to be developed as part of the RFA application? Can it be developed during the contracting period? Or can it be </w:t>
            </w:r>
            <w:proofErr w:type="gramStart"/>
            <w:r w:rsidRPr="00322F20">
              <w:rPr>
                <w:rFonts w:eastAsia="Times New Roman"/>
              </w:rPr>
              <w:t>development</w:t>
            </w:r>
            <w:proofErr w:type="gramEnd"/>
            <w:r w:rsidRPr="00322F20">
              <w:rPr>
                <w:rFonts w:eastAsia="Times New Roman"/>
              </w:rPr>
              <w:t xml:space="preserve"> during the project’s implementation?</w:t>
            </w:r>
          </w:p>
        </w:tc>
        <w:tc>
          <w:tcPr>
            <w:tcW w:w="4887" w:type="dxa"/>
            <w:vAlign w:val="center"/>
          </w:tcPr>
          <w:p w14:paraId="4E1F905B" w14:textId="25E74A00" w:rsidR="00DE4A2E" w:rsidRPr="00727FF7" w:rsidRDefault="00684A2F" w:rsidP="00ED70C4">
            <w:r w:rsidRPr="00727FF7">
              <w:t>The post-fire response plan can be developed during the contracting period and does not need to be in place prior to the application being submitted. It can be developed in tandem with project implementation; however, it must be completed before the contract is complete.</w:t>
            </w:r>
            <w:r w:rsidR="00727FF7" w:rsidRPr="00727FF7">
              <w:t xml:space="preserve"> The post-fire response plan will be an Alternative Watershed-Based Plan and is preferred by EPA to result in the eventual production of a full 9-element Watershed-Based Plan. </w:t>
            </w:r>
          </w:p>
        </w:tc>
        <w:tc>
          <w:tcPr>
            <w:tcW w:w="1586" w:type="dxa"/>
            <w:vAlign w:val="center"/>
          </w:tcPr>
          <w:p w14:paraId="2BF1D418" w14:textId="03366688" w:rsidR="00DE4A2E" w:rsidRPr="00C7134C" w:rsidRDefault="00DE4A2E" w:rsidP="00ED70C4">
            <w:pPr>
              <w:jc w:val="center"/>
              <w:rPr>
                <w:sz w:val="20"/>
                <w:szCs w:val="20"/>
              </w:rPr>
            </w:pPr>
          </w:p>
        </w:tc>
        <w:tc>
          <w:tcPr>
            <w:tcW w:w="1701" w:type="dxa"/>
            <w:vAlign w:val="center"/>
          </w:tcPr>
          <w:p w14:paraId="776258CF" w14:textId="02A4B167" w:rsidR="00DE4A2E" w:rsidRPr="00C7134C" w:rsidRDefault="00DE4A2E" w:rsidP="00ED70C4">
            <w:pPr>
              <w:jc w:val="center"/>
              <w:rPr>
                <w:sz w:val="20"/>
                <w:szCs w:val="20"/>
              </w:rPr>
            </w:pPr>
          </w:p>
        </w:tc>
      </w:tr>
      <w:tr w:rsidR="00DE4A2E" w14:paraId="4C008B94" w14:textId="77777777" w:rsidTr="00BF015D">
        <w:tc>
          <w:tcPr>
            <w:tcW w:w="1329" w:type="dxa"/>
            <w:vAlign w:val="center"/>
          </w:tcPr>
          <w:p w14:paraId="0029FFA3" w14:textId="77777777" w:rsidR="00DE4A2E" w:rsidRDefault="00DE4A2E" w:rsidP="00ED70C4">
            <w:pPr>
              <w:jc w:val="center"/>
            </w:pPr>
            <w:r>
              <w:t>8</w:t>
            </w:r>
          </w:p>
        </w:tc>
        <w:tc>
          <w:tcPr>
            <w:tcW w:w="3447" w:type="dxa"/>
            <w:vAlign w:val="center"/>
          </w:tcPr>
          <w:p w14:paraId="6640C3C3" w14:textId="1F86DA33" w:rsidR="00DE4A2E" w:rsidRPr="00322F20" w:rsidRDefault="00E963F5" w:rsidP="00F92383">
            <w:pPr>
              <w:spacing w:after="200" w:line="276" w:lineRule="auto"/>
              <w:rPr>
                <w:rFonts w:ascii="Calibri" w:eastAsia="Times New Roman" w:hAnsi="Calibri"/>
                <w:color w:val="000000"/>
              </w:rPr>
            </w:pPr>
            <w:r w:rsidRPr="00322F20">
              <w:rPr>
                <w:rFonts w:ascii="Calibri" w:eastAsia="Times New Roman" w:hAnsi="Calibri"/>
                <w:color w:val="000000"/>
              </w:rPr>
              <w:t>How, when, and who develops the Post-fire Response Plan?</w:t>
            </w:r>
          </w:p>
        </w:tc>
        <w:tc>
          <w:tcPr>
            <w:tcW w:w="4887" w:type="dxa"/>
            <w:vAlign w:val="center"/>
          </w:tcPr>
          <w:p w14:paraId="5DA30ED8" w14:textId="527CB72A" w:rsidR="00DE4A2E" w:rsidRPr="00D12104" w:rsidRDefault="00684A2F" w:rsidP="00ED70C4">
            <w:r w:rsidRPr="00727FF7">
              <w:t xml:space="preserve">The applicant will develop the post-fire response plan </w:t>
            </w:r>
            <w:r w:rsidR="00727FF7">
              <w:t xml:space="preserve">(or Alternative Watershed-Based Plan) </w:t>
            </w:r>
            <w:r w:rsidRPr="00727FF7">
              <w:t>for the project area during the contract period.</w:t>
            </w:r>
            <w:r>
              <w:t xml:space="preserve"> </w:t>
            </w:r>
          </w:p>
        </w:tc>
        <w:tc>
          <w:tcPr>
            <w:tcW w:w="1586" w:type="dxa"/>
            <w:vAlign w:val="center"/>
          </w:tcPr>
          <w:p w14:paraId="537D581F" w14:textId="08EDAE60" w:rsidR="00DE4A2E" w:rsidRPr="00F561DC" w:rsidRDefault="00DE4A2E" w:rsidP="00ED70C4">
            <w:pPr>
              <w:jc w:val="center"/>
            </w:pPr>
          </w:p>
        </w:tc>
        <w:tc>
          <w:tcPr>
            <w:tcW w:w="1701" w:type="dxa"/>
            <w:vAlign w:val="center"/>
          </w:tcPr>
          <w:p w14:paraId="0AAA8D6F" w14:textId="4A967405" w:rsidR="00DE4A2E" w:rsidRPr="00F561DC" w:rsidRDefault="00DE4A2E" w:rsidP="00ED70C4">
            <w:pPr>
              <w:jc w:val="center"/>
            </w:pPr>
          </w:p>
        </w:tc>
      </w:tr>
      <w:tr w:rsidR="00ED70C4" w14:paraId="5A32C484" w14:textId="77777777" w:rsidTr="00BF015D">
        <w:tc>
          <w:tcPr>
            <w:tcW w:w="1329" w:type="dxa"/>
            <w:vAlign w:val="center"/>
          </w:tcPr>
          <w:p w14:paraId="4BF785B5" w14:textId="77777777" w:rsidR="00ED70C4" w:rsidRDefault="00ED70C4" w:rsidP="00ED70C4">
            <w:pPr>
              <w:jc w:val="center"/>
            </w:pPr>
            <w:r>
              <w:t>9</w:t>
            </w:r>
          </w:p>
        </w:tc>
        <w:tc>
          <w:tcPr>
            <w:tcW w:w="3447" w:type="dxa"/>
            <w:vAlign w:val="center"/>
          </w:tcPr>
          <w:p w14:paraId="71D13B88" w14:textId="509041A6" w:rsidR="00ED70C4" w:rsidRPr="0027142D" w:rsidRDefault="00E963F5" w:rsidP="00ED70C4">
            <w:pPr>
              <w:spacing w:before="100" w:beforeAutospacing="1" w:after="100" w:afterAutospacing="1"/>
              <w:rPr>
                <w:rFonts w:ascii="Calibri" w:eastAsia="Times New Roman" w:hAnsi="Calibri"/>
                <w:color w:val="000000"/>
                <w:sz w:val="20"/>
                <w:szCs w:val="20"/>
              </w:rPr>
            </w:pPr>
            <w:r w:rsidRPr="00322F20">
              <w:rPr>
                <w:rFonts w:ascii="Calibri" w:eastAsia="Times New Roman" w:hAnsi="Calibri"/>
                <w:color w:val="000000"/>
              </w:rPr>
              <w:t xml:space="preserve">Should our budgets be based on the vendor price agreement or based on actual costs? </w:t>
            </w:r>
          </w:p>
        </w:tc>
        <w:tc>
          <w:tcPr>
            <w:tcW w:w="4887" w:type="dxa"/>
            <w:vAlign w:val="center"/>
          </w:tcPr>
          <w:p w14:paraId="02E5B4E4" w14:textId="26637B5D" w:rsidR="00ED70C4" w:rsidRPr="00F561DC" w:rsidRDefault="00322F20" w:rsidP="00ED70C4">
            <w:r>
              <w:t xml:space="preserve">If you are applying for funding using Attachment B for Vendors on Price Agreement, you can use rates up to the published rates for the vendor in the price agreement, but not more than that rate for any </w:t>
            </w:r>
            <w:proofErr w:type="gramStart"/>
            <w:r>
              <w:t>particular service</w:t>
            </w:r>
            <w:proofErr w:type="gramEnd"/>
            <w:r>
              <w:t xml:space="preserve">. Further, the personnel hourly rate is limited to the federal funding cap of $91.95 per hour or $735.60 per day per the cost compliance and acceptability pursuant to </w:t>
            </w:r>
            <w:hyperlink r:id="rId10" w:history="1">
              <w:r w:rsidRPr="00010DDE">
                <w:rPr>
                  <w:rStyle w:val="Hyperlink"/>
                  <w:iCs/>
                </w:rPr>
                <w:t>2 CFR Part 200 Subpart E</w:t>
              </w:r>
            </w:hyperlink>
            <w:r>
              <w:t xml:space="preserve"> because the funds are federal Clean Water Act Section 319.  </w:t>
            </w:r>
          </w:p>
        </w:tc>
        <w:tc>
          <w:tcPr>
            <w:tcW w:w="1586" w:type="dxa"/>
            <w:vAlign w:val="center"/>
          </w:tcPr>
          <w:p w14:paraId="501AC4BA" w14:textId="77777777" w:rsidR="00322F20" w:rsidRDefault="00322F20" w:rsidP="00ED70C4">
            <w:pPr>
              <w:jc w:val="center"/>
            </w:pPr>
            <w:r>
              <w:t xml:space="preserve">6. Application Instructions, </w:t>
            </w:r>
          </w:p>
          <w:p w14:paraId="41593245" w14:textId="38091942" w:rsidR="00ED70C4" w:rsidRPr="00F561DC" w:rsidRDefault="00322F20" w:rsidP="00ED70C4">
            <w:pPr>
              <w:jc w:val="center"/>
            </w:pPr>
            <w:r>
              <w:t>Q. Budget</w:t>
            </w:r>
          </w:p>
        </w:tc>
        <w:tc>
          <w:tcPr>
            <w:tcW w:w="1701" w:type="dxa"/>
            <w:vAlign w:val="center"/>
          </w:tcPr>
          <w:p w14:paraId="15EA57B0" w14:textId="19000C39" w:rsidR="00ED70C4" w:rsidRPr="00F561DC" w:rsidRDefault="00322F20" w:rsidP="00ED70C4">
            <w:pPr>
              <w:jc w:val="center"/>
            </w:pPr>
            <w:r>
              <w:t>Page 11</w:t>
            </w:r>
          </w:p>
        </w:tc>
      </w:tr>
      <w:tr w:rsidR="00ED70C4" w14:paraId="12779E2A" w14:textId="77777777" w:rsidTr="00BF015D">
        <w:tc>
          <w:tcPr>
            <w:tcW w:w="1329" w:type="dxa"/>
            <w:vAlign w:val="center"/>
          </w:tcPr>
          <w:p w14:paraId="68A9E407" w14:textId="77777777" w:rsidR="00ED70C4" w:rsidRDefault="00ED70C4" w:rsidP="00ED70C4">
            <w:pPr>
              <w:jc w:val="center"/>
            </w:pPr>
            <w:r>
              <w:lastRenderedPageBreak/>
              <w:t>10</w:t>
            </w:r>
          </w:p>
        </w:tc>
        <w:tc>
          <w:tcPr>
            <w:tcW w:w="3447" w:type="dxa"/>
            <w:vAlign w:val="center"/>
          </w:tcPr>
          <w:p w14:paraId="589DC5D8" w14:textId="68549F55" w:rsidR="00ED70C4" w:rsidRPr="00670D89" w:rsidRDefault="00E963F5" w:rsidP="00ED70C4">
            <w:pPr>
              <w:spacing w:before="100" w:beforeAutospacing="1" w:after="100" w:afterAutospacing="1"/>
              <w:rPr>
                <w:rFonts w:ascii="Calibri" w:eastAsia="Times New Roman" w:hAnsi="Calibri"/>
                <w:color w:val="000000"/>
              </w:rPr>
            </w:pPr>
            <w:r>
              <w:rPr>
                <w:rFonts w:ascii="Calibri" w:eastAsia="Times New Roman" w:hAnsi="Calibri"/>
                <w:color w:val="000000"/>
              </w:rPr>
              <w:t xml:space="preserve">Was the socioeconomics section intentionally deleted, or was that an error? </w:t>
            </w:r>
          </w:p>
        </w:tc>
        <w:tc>
          <w:tcPr>
            <w:tcW w:w="4887" w:type="dxa"/>
            <w:vAlign w:val="center"/>
          </w:tcPr>
          <w:p w14:paraId="37BBDF7D" w14:textId="0A7A6952" w:rsidR="00ED70C4" w:rsidRPr="00B56F39" w:rsidRDefault="00322F20" w:rsidP="00ED70C4">
            <w:r>
              <w:t xml:space="preserve">The Socioeconomics section of the application (Attachment A and Attachment B) was intentionally deleted as part of Amendment 1 on February 10, 2025. This question required a screenshot of the project area generated from the </w:t>
            </w:r>
            <w:proofErr w:type="spellStart"/>
            <w:r>
              <w:t>EJScreen</w:t>
            </w:r>
            <w:proofErr w:type="spellEnd"/>
            <w:r>
              <w:t xml:space="preserve"> mapping tool on the EPA’s </w:t>
            </w:r>
            <w:proofErr w:type="gramStart"/>
            <w:r>
              <w:t>website</w:t>
            </w:r>
            <w:proofErr w:type="gramEnd"/>
            <w:r>
              <w:t xml:space="preserve"> which has since been removed and is now unavailable. </w:t>
            </w:r>
          </w:p>
        </w:tc>
        <w:tc>
          <w:tcPr>
            <w:tcW w:w="1586" w:type="dxa"/>
            <w:vAlign w:val="center"/>
          </w:tcPr>
          <w:p w14:paraId="3D798717" w14:textId="7C61B436" w:rsidR="00ED70C4" w:rsidRPr="00F561DC" w:rsidRDefault="00322F20" w:rsidP="00ED70C4">
            <w:pPr>
              <w:jc w:val="center"/>
            </w:pPr>
            <w:r>
              <w:t>Attachment A &amp; B</w:t>
            </w:r>
          </w:p>
        </w:tc>
        <w:tc>
          <w:tcPr>
            <w:tcW w:w="1701" w:type="dxa"/>
            <w:vAlign w:val="center"/>
          </w:tcPr>
          <w:p w14:paraId="7A405E89" w14:textId="183ABCCD" w:rsidR="00ED70C4" w:rsidRPr="00F561DC" w:rsidRDefault="00322F20" w:rsidP="00ED70C4">
            <w:pPr>
              <w:jc w:val="center"/>
            </w:pPr>
            <w:r>
              <w:t>Attachment A &amp; B</w:t>
            </w:r>
          </w:p>
        </w:tc>
      </w:tr>
      <w:tr w:rsidR="00ED70C4" w14:paraId="01665EDE" w14:textId="77777777" w:rsidTr="00BF015D">
        <w:tc>
          <w:tcPr>
            <w:tcW w:w="1329" w:type="dxa"/>
            <w:vAlign w:val="center"/>
          </w:tcPr>
          <w:p w14:paraId="11FB766B" w14:textId="77777777" w:rsidR="00ED70C4" w:rsidRDefault="00ED70C4" w:rsidP="00ED70C4">
            <w:pPr>
              <w:jc w:val="center"/>
            </w:pPr>
            <w:r>
              <w:t>11</w:t>
            </w:r>
          </w:p>
        </w:tc>
        <w:tc>
          <w:tcPr>
            <w:tcW w:w="3447" w:type="dxa"/>
            <w:vAlign w:val="center"/>
          </w:tcPr>
          <w:p w14:paraId="76FAB372" w14:textId="7115D31F" w:rsidR="00ED70C4" w:rsidRPr="00FB1D6F" w:rsidRDefault="00E963F5" w:rsidP="00ED70C4">
            <w:pPr>
              <w:spacing w:before="100" w:beforeAutospacing="1" w:after="100" w:afterAutospacing="1"/>
              <w:rPr>
                <w:rFonts w:ascii="Calibri" w:eastAsia="Times New Roman" w:hAnsi="Calibri"/>
                <w:color w:val="000000"/>
              </w:rPr>
            </w:pPr>
            <w:r>
              <w:rPr>
                <w:rFonts w:ascii="Calibri" w:eastAsia="Times New Roman" w:hAnsi="Calibri"/>
                <w:color w:val="000000"/>
              </w:rPr>
              <w:t>What is the SHARE Vendor ID #?</w:t>
            </w:r>
          </w:p>
        </w:tc>
        <w:tc>
          <w:tcPr>
            <w:tcW w:w="4887" w:type="dxa"/>
            <w:vAlign w:val="center"/>
          </w:tcPr>
          <w:p w14:paraId="0AC30EAF" w14:textId="1FB3817E" w:rsidR="00ED70C4" w:rsidRPr="00FB1D6F" w:rsidRDefault="00322F20" w:rsidP="00ED70C4">
            <w:r>
              <w:t xml:space="preserve">The SHARE Vendor ID # is the vendor’s identification number for the State of New Mexico’s financial system, SHARE. If you have received a payment from the State of New Mexico, you have a SHARE Vendor ID #. This number is listed as the “Supplier ID” at the top of any existing Purchase Order you may have with the State of New Mexico. </w:t>
            </w:r>
          </w:p>
        </w:tc>
        <w:tc>
          <w:tcPr>
            <w:tcW w:w="1586" w:type="dxa"/>
            <w:vAlign w:val="center"/>
          </w:tcPr>
          <w:p w14:paraId="4F2D507B" w14:textId="77777777" w:rsidR="00322F20" w:rsidRDefault="00322F20" w:rsidP="00322F20">
            <w:pPr>
              <w:jc w:val="center"/>
            </w:pPr>
            <w:r>
              <w:t xml:space="preserve">6. Application Instructions, </w:t>
            </w:r>
          </w:p>
          <w:p w14:paraId="78170332" w14:textId="187560FE" w:rsidR="00ED70C4" w:rsidRPr="00FB1D6F" w:rsidRDefault="00322F20" w:rsidP="00322F20">
            <w:pPr>
              <w:jc w:val="center"/>
            </w:pPr>
            <w:r>
              <w:t>B. Applicant Information</w:t>
            </w:r>
          </w:p>
        </w:tc>
        <w:tc>
          <w:tcPr>
            <w:tcW w:w="1701" w:type="dxa"/>
            <w:vAlign w:val="center"/>
          </w:tcPr>
          <w:p w14:paraId="28416B5E" w14:textId="2DCF08BC" w:rsidR="00ED70C4" w:rsidRDefault="00322F20" w:rsidP="00ED70C4">
            <w:pPr>
              <w:jc w:val="center"/>
            </w:pPr>
            <w:r>
              <w:t>Page 7</w:t>
            </w:r>
          </w:p>
          <w:p w14:paraId="25E29B23" w14:textId="6CCD1EB5" w:rsidR="00322F20" w:rsidRPr="00FB1D6F" w:rsidRDefault="00322F20" w:rsidP="00ED70C4">
            <w:pPr>
              <w:jc w:val="center"/>
            </w:pPr>
          </w:p>
        </w:tc>
      </w:tr>
      <w:tr w:rsidR="00ED70C4" w14:paraId="2AF16239" w14:textId="77777777" w:rsidTr="00BF015D">
        <w:tc>
          <w:tcPr>
            <w:tcW w:w="1329" w:type="dxa"/>
            <w:vAlign w:val="center"/>
          </w:tcPr>
          <w:p w14:paraId="4F521342" w14:textId="77777777" w:rsidR="00ED70C4" w:rsidRDefault="00ED70C4" w:rsidP="00ED70C4">
            <w:pPr>
              <w:jc w:val="center"/>
            </w:pPr>
            <w:r>
              <w:t>12</w:t>
            </w:r>
          </w:p>
        </w:tc>
        <w:tc>
          <w:tcPr>
            <w:tcW w:w="3447" w:type="dxa"/>
            <w:vAlign w:val="center"/>
          </w:tcPr>
          <w:p w14:paraId="1AB9B60E" w14:textId="05236C98" w:rsidR="00ED70C4" w:rsidRPr="00FB1D6F" w:rsidRDefault="00E963F5" w:rsidP="00ED70C4">
            <w:pPr>
              <w:spacing w:before="100" w:beforeAutospacing="1" w:after="100" w:afterAutospacing="1"/>
              <w:rPr>
                <w:rFonts w:ascii="Calibri" w:eastAsia="Times New Roman" w:hAnsi="Calibri"/>
                <w:color w:val="000000"/>
              </w:rPr>
            </w:pPr>
            <w:r>
              <w:rPr>
                <w:rFonts w:ascii="Calibri" w:eastAsia="Times New Roman" w:hAnsi="Calibri"/>
                <w:color w:val="000000"/>
              </w:rPr>
              <w:t xml:space="preserve">Is the SHARE Vendor ID # required for those applying under the Attachment B application for vendors? </w:t>
            </w:r>
          </w:p>
        </w:tc>
        <w:tc>
          <w:tcPr>
            <w:tcW w:w="4887" w:type="dxa"/>
            <w:vAlign w:val="center"/>
          </w:tcPr>
          <w:p w14:paraId="6189E551" w14:textId="70CDF5BA" w:rsidR="00ED70C4" w:rsidRPr="00FB1D6F" w:rsidRDefault="00322F20" w:rsidP="00ED70C4">
            <w:r>
              <w:t xml:space="preserve">Yes, a SHARE Vendor ID # is required if you are an applicant using Attachment B to apply for funding. </w:t>
            </w:r>
          </w:p>
        </w:tc>
        <w:tc>
          <w:tcPr>
            <w:tcW w:w="1586" w:type="dxa"/>
            <w:vAlign w:val="center"/>
          </w:tcPr>
          <w:p w14:paraId="0C8DD7B7" w14:textId="77777777" w:rsidR="00322F20" w:rsidRDefault="00322F20" w:rsidP="00ED70C4">
            <w:pPr>
              <w:jc w:val="center"/>
            </w:pPr>
            <w:r>
              <w:t xml:space="preserve">6. Application Instructions, </w:t>
            </w:r>
          </w:p>
          <w:p w14:paraId="022F310B" w14:textId="27413B54" w:rsidR="00ED70C4" w:rsidRPr="00FB1D6F" w:rsidRDefault="00322F20" w:rsidP="00ED70C4">
            <w:pPr>
              <w:jc w:val="center"/>
            </w:pPr>
            <w:r>
              <w:t>B. Applicant Information</w:t>
            </w:r>
          </w:p>
        </w:tc>
        <w:tc>
          <w:tcPr>
            <w:tcW w:w="1701" w:type="dxa"/>
            <w:vAlign w:val="center"/>
          </w:tcPr>
          <w:p w14:paraId="67791396" w14:textId="702A353C" w:rsidR="00ED70C4" w:rsidRPr="00FB1D6F" w:rsidRDefault="00322F20" w:rsidP="00ED70C4">
            <w:pPr>
              <w:jc w:val="center"/>
            </w:pPr>
            <w:r>
              <w:t>Page 7</w:t>
            </w:r>
          </w:p>
        </w:tc>
      </w:tr>
      <w:tr w:rsidR="00ED70C4" w14:paraId="46768FDC" w14:textId="77777777" w:rsidTr="00BF015D">
        <w:tc>
          <w:tcPr>
            <w:tcW w:w="1329" w:type="dxa"/>
            <w:vAlign w:val="center"/>
          </w:tcPr>
          <w:p w14:paraId="0951F170" w14:textId="77777777" w:rsidR="00ED70C4" w:rsidRDefault="00ED70C4" w:rsidP="00ED70C4">
            <w:pPr>
              <w:jc w:val="center"/>
            </w:pPr>
            <w:r>
              <w:t>13</w:t>
            </w:r>
          </w:p>
        </w:tc>
        <w:tc>
          <w:tcPr>
            <w:tcW w:w="3447" w:type="dxa"/>
            <w:vAlign w:val="center"/>
          </w:tcPr>
          <w:p w14:paraId="27A8092A" w14:textId="7B854A80" w:rsidR="00ED70C4" w:rsidRPr="00FB1D6F" w:rsidRDefault="00E963F5" w:rsidP="00ED70C4">
            <w:pPr>
              <w:spacing w:before="100" w:beforeAutospacing="1" w:after="100" w:afterAutospacing="1"/>
              <w:rPr>
                <w:rFonts w:ascii="Calibri" w:eastAsia="Times New Roman" w:hAnsi="Calibri"/>
                <w:color w:val="000000"/>
              </w:rPr>
            </w:pPr>
            <w:r>
              <w:rPr>
                <w:rFonts w:ascii="Calibri" w:eastAsia="Times New Roman" w:hAnsi="Calibri"/>
                <w:color w:val="000000"/>
              </w:rPr>
              <w:t xml:space="preserve">If the SHARE Vendor ID # is required and the applicant does not have one, where can the vendor apply for this </w:t>
            </w:r>
            <w:proofErr w:type="gramStart"/>
            <w:r>
              <w:rPr>
                <w:rFonts w:ascii="Calibri" w:eastAsia="Times New Roman" w:hAnsi="Calibri"/>
                <w:color w:val="000000"/>
              </w:rPr>
              <w:t>ID #?</w:t>
            </w:r>
            <w:proofErr w:type="gramEnd"/>
            <w:r>
              <w:rPr>
                <w:rFonts w:ascii="Calibri" w:eastAsia="Times New Roman" w:hAnsi="Calibri"/>
                <w:color w:val="000000"/>
              </w:rPr>
              <w:t xml:space="preserve"> </w:t>
            </w:r>
          </w:p>
        </w:tc>
        <w:tc>
          <w:tcPr>
            <w:tcW w:w="4887" w:type="dxa"/>
            <w:vAlign w:val="center"/>
          </w:tcPr>
          <w:p w14:paraId="747461ED" w14:textId="108D81A6" w:rsidR="00ED70C4" w:rsidRPr="00FB1D6F" w:rsidRDefault="00CE58FD" w:rsidP="00ED70C4">
            <w:r>
              <w:t xml:space="preserve">Applicants using Attachment B should already have a SHARE Vendor ID # because they will have an active price agreement with the State of New Mexico. The “Supplier ID #” listed at the top of an active State of New Mexico purchase order is the same number as the SHARE Vendor ID #. If a vendor needs to be established with the State of New Mexico, they can work with either New Mexico Department of Finance and Administration or New Mexico Taxation and Revenue Department to get established as a State of New Mexico vendor. </w:t>
            </w:r>
          </w:p>
        </w:tc>
        <w:tc>
          <w:tcPr>
            <w:tcW w:w="1586" w:type="dxa"/>
            <w:vAlign w:val="center"/>
          </w:tcPr>
          <w:p w14:paraId="71CF7580" w14:textId="77777777" w:rsidR="00322F20" w:rsidRDefault="00322F20" w:rsidP="00322F20">
            <w:pPr>
              <w:jc w:val="center"/>
            </w:pPr>
            <w:r>
              <w:t xml:space="preserve">6. Application Instructions, </w:t>
            </w:r>
          </w:p>
          <w:p w14:paraId="2FDDC0DA" w14:textId="3EDBA79C" w:rsidR="00ED70C4" w:rsidRPr="00FB1D6F" w:rsidRDefault="00322F20" w:rsidP="00322F20">
            <w:pPr>
              <w:jc w:val="center"/>
            </w:pPr>
            <w:r>
              <w:t>B. Applicant Information</w:t>
            </w:r>
          </w:p>
        </w:tc>
        <w:tc>
          <w:tcPr>
            <w:tcW w:w="1701" w:type="dxa"/>
            <w:vAlign w:val="center"/>
          </w:tcPr>
          <w:p w14:paraId="693C397E" w14:textId="79F5DC9A" w:rsidR="00ED70C4" w:rsidRPr="00FB1D6F" w:rsidRDefault="00322F20" w:rsidP="00ED70C4">
            <w:pPr>
              <w:jc w:val="center"/>
            </w:pPr>
            <w:r>
              <w:t>Page 7</w:t>
            </w:r>
          </w:p>
        </w:tc>
      </w:tr>
    </w:tbl>
    <w:p w14:paraId="0CDBBC92" w14:textId="4F7D2613" w:rsidR="00D72981" w:rsidRPr="00C77C73" w:rsidRDefault="00D72981" w:rsidP="002F216C">
      <w:pPr>
        <w:rPr>
          <w:b/>
          <w:smallCaps/>
          <w:sz w:val="20"/>
        </w:rPr>
      </w:pPr>
    </w:p>
    <w:sectPr w:rsidR="00D72981" w:rsidRPr="00C77C73" w:rsidSect="00DE4A2E">
      <w:headerReference w:type="default" r:id="rId11"/>
      <w:pgSz w:w="15840" w:h="12240" w:orient="landscape"/>
      <w:pgMar w:top="990" w:right="1440" w:bottom="45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B93A" w14:textId="77777777" w:rsidR="001F0F7D" w:rsidRDefault="001F0F7D" w:rsidP="00110412">
      <w:pPr>
        <w:spacing w:after="0" w:line="240" w:lineRule="auto"/>
      </w:pPr>
      <w:r>
        <w:separator/>
      </w:r>
    </w:p>
  </w:endnote>
  <w:endnote w:type="continuationSeparator" w:id="0">
    <w:p w14:paraId="6A63E103" w14:textId="77777777" w:rsidR="001F0F7D" w:rsidRDefault="001F0F7D" w:rsidP="0011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04B9" w14:textId="77777777" w:rsidR="001F0F7D" w:rsidRDefault="001F0F7D" w:rsidP="00110412">
      <w:pPr>
        <w:spacing w:after="0" w:line="240" w:lineRule="auto"/>
      </w:pPr>
      <w:r>
        <w:separator/>
      </w:r>
    </w:p>
  </w:footnote>
  <w:footnote w:type="continuationSeparator" w:id="0">
    <w:p w14:paraId="41A4DE80" w14:textId="77777777" w:rsidR="001F0F7D" w:rsidRDefault="001F0F7D" w:rsidP="00110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A3AB" w14:textId="3D4F5BFB" w:rsidR="00110412" w:rsidRPr="00110412" w:rsidRDefault="004D77E7">
    <w:pPr>
      <w:pStyle w:val="Header"/>
      <w:rPr>
        <w:b/>
      </w:rPr>
    </w:pPr>
    <w:r w:rsidRPr="004D77E7">
      <w:rPr>
        <w:b/>
      </w:rPr>
      <w:t>FY</w:t>
    </w:r>
    <w:r w:rsidR="00A54E92">
      <w:rPr>
        <w:b/>
      </w:rPr>
      <w:t xml:space="preserve"> </w:t>
    </w:r>
    <w:r w:rsidRPr="004D77E7">
      <w:rPr>
        <w:b/>
      </w:rPr>
      <w:t>202</w:t>
    </w:r>
    <w:r w:rsidR="00A54E92">
      <w:rPr>
        <w:b/>
      </w:rPr>
      <w:t xml:space="preserve">5 Section 319 Watershed Implementation </w:t>
    </w:r>
    <w:r w:rsidR="00066A07">
      <w:rPr>
        <w:b/>
      </w:rPr>
      <w:t xml:space="preserve">Projects </w:t>
    </w:r>
    <w:r w:rsidR="00A54E92">
      <w:rPr>
        <w:b/>
      </w:rPr>
      <w:t>Request for Applications</w:t>
    </w:r>
    <w:r w:rsidR="00110412" w:rsidRPr="00110412">
      <w:rPr>
        <w:b/>
      </w:rPr>
      <w:ptab w:relativeTo="margin" w:alignment="right" w:leader="none"/>
    </w:r>
    <w:r w:rsidR="00110412" w:rsidRPr="00110412">
      <w:rPr>
        <w:b/>
      </w:rPr>
      <w:t>Agency Response to Offerors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30FA5"/>
    <w:multiLevelType w:val="hybridMultilevel"/>
    <w:tmpl w:val="ABD4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25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DA1sDA3MzEyNjZX0lEKTi0uzszPAykwrgUAnltKQywAAAA="/>
  </w:docVars>
  <w:rsids>
    <w:rsidRoot w:val="00110412"/>
    <w:rsid w:val="00026998"/>
    <w:rsid w:val="000315A9"/>
    <w:rsid w:val="00031678"/>
    <w:rsid w:val="000372B2"/>
    <w:rsid w:val="000609D3"/>
    <w:rsid w:val="00066A07"/>
    <w:rsid w:val="00085BE5"/>
    <w:rsid w:val="000C4CF0"/>
    <w:rsid w:val="000D416F"/>
    <w:rsid w:val="000E71AA"/>
    <w:rsid w:val="00110412"/>
    <w:rsid w:val="00122E11"/>
    <w:rsid w:val="00143F74"/>
    <w:rsid w:val="001A39EA"/>
    <w:rsid w:val="001C42C6"/>
    <w:rsid w:val="001C44CE"/>
    <w:rsid w:val="001F0F7D"/>
    <w:rsid w:val="0020409D"/>
    <w:rsid w:val="00205932"/>
    <w:rsid w:val="00245545"/>
    <w:rsid w:val="002678BD"/>
    <w:rsid w:val="00271D68"/>
    <w:rsid w:val="00292A6B"/>
    <w:rsid w:val="002A0C77"/>
    <w:rsid w:val="002D3CB5"/>
    <w:rsid w:val="002F216C"/>
    <w:rsid w:val="00311704"/>
    <w:rsid w:val="003209FD"/>
    <w:rsid w:val="00322F20"/>
    <w:rsid w:val="00334734"/>
    <w:rsid w:val="0036216F"/>
    <w:rsid w:val="00362F13"/>
    <w:rsid w:val="00374284"/>
    <w:rsid w:val="00374DBA"/>
    <w:rsid w:val="00380996"/>
    <w:rsid w:val="0039583F"/>
    <w:rsid w:val="003A5890"/>
    <w:rsid w:val="003B23D2"/>
    <w:rsid w:val="0040582E"/>
    <w:rsid w:val="00437057"/>
    <w:rsid w:val="004472FA"/>
    <w:rsid w:val="00471E11"/>
    <w:rsid w:val="0047589A"/>
    <w:rsid w:val="00482EC4"/>
    <w:rsid w:val="004B0C93"/>
    <w:rsid w:val="004B3A86"/>
    <w:rsid w:val="004C054B"/>
    <w:rsid w:val="004D77E7"/>
    <w:rsid w:val="005016E5"/>
    <w:rsid w:val="00517D65"/>
    <w:rsid w:val="0054036F"/>
    <w:rsid w:val="00553FDA"/>
    <w:rsid w:val="005B2DE3"/>
    <w:rsid w:val="005B61D4"/>
    <w:rsid w:val="005C3E4D"/>
    <w:rsid w:val="00670D89"/>
    <w:rsid w:val="00684A2F"/>
    <w:rsid w:val="006A2D99"/>
    <w:rsid w:val="006B2487"/>
    <w:rsid w:val="006E6EBB"/>
    <w:rsid w:val="006F48A7"/>
    <w:rsid w:val="006F6F83"/>
    <w:rsid w:val="006F79E6"/>
    <w:rsid w:val="00727FF7"/>
    <w:rsid w:val="00744CDB"/>
    <w:rsid w:val="00757ED3"/>
    <w:rsid w:val="0076476E"/>
    <w:rsid w:val="007824CE"/>
    <w:rsid w:val="007B4D92"/>
    <w:rsid w:val="007F7633"/>
    <w:rsid w:val="00841615"/>
    <w:rsid w:val="008F6C69"/>
    <w:rsid w:val="00900F9A"/>
    <w:rsid w:val="00913E7E"/>
    <w:rsid w:val="009B12F2"/>
    <w:rsid w:val="009C038C"/>
    <w:rsid w:val="009E0DE6"/>
    <w:rsid w:val="009E14EB"/>
    <w:rsid w:val="009E2042"/>
    <w:rsid w:val="009E4B85"/>
    <w:rsid w:val="00A116FF"/>
    <w:rsid w:val="00A40C43"/>
    <w:rsid w:val="00A45846"/>
    <w:rsid w:val="00A5053C"/>
    <w:rsid w:val="00A522B0"/>
    <w:rsid w:val="00A542A5"/>
    <w:rsid w:val="00A54E92"/>
    <w:rsid w:val="00A60FBB"/>
    <w:rsid w:val="00A73ACC"/>
    <w:rsid w:val="00AA11DB"/>
    <w:rsid w:val="00AD1CD4"/>
    <w:rsid w:val="00AF3214"/>
    <w:rsid w:val="00B05202"/>
    <w:rsid w:val="00B56F39"/>
    <w:rsid w:val="00B826F9"/>
    <w:rsid w:val="00BF015D"/>
    <w:rsid w:val="00C24F6A"/>
    <w:rsid w:val="00C504B6"/>
    <w:rsid w:val="00C53C31"/>
    <w:rsid w:val="00C57A3A"/>
    <w:rsid w:val="00C77C73"/>
    <w:rsid w:val="00CA7F5C"/>
    <w:rsid w:val="00CE0A57"/>
    <w:rsid w:val="00CE2FB5"/>
    <w:rsid w:val="00CE58FD"/>
    <w:rsid w:val="00D0480B"/>
    <w:rsid w:val="00D12104"/>
    <w:rsid w:val="00D3184C"/>
    <w:rsid w:val="00D452A3"/>
    <w:rsid w:val="00D4581D"/>
    <w:rsid w:val="00D72981"/>
    <w:rsid w:val="00D95D02"/>
    <w:rsid w:val="00DC0433"/>
    <w:rsid w:val="00DD4F82"/>
    <w:rsid w:val="00DE4A2E"/>
    <w:rsid w:val="00E13886"/>
    <w:rsid w:val="00E13E0D"/>
    <w:rsid w:val="00E26FBC"/>
    <w:rsid w:val="00E307AC"/>
    <w:rsid w:val="00E963F5"/>
    <w:rsid w:val="00ED001E"/>
    <w:rsid w:val="00ED0C8C"/>
    <w:rsid w:val="00ED70C4"/>
    <w:rsid w:val="00EF1A90"/>
    <w:rsid w:val="00F06EC8"/>
    <w:rsid w:val="00F41273"/>
    <w:rsid w:val="00F5060D"/>
    <w:rsid w:val="00F561DC"/>
    <w:rsid w:val="00F80D96"/>
    <w:rsid w:val="00F92383"/>
    <w:rsid w:val="00FA00C6"/>
    <w:rsid w:val="00FA3A9E"/>
    <w:rsid w:val="00FB15AD"/>
    <w:rsid w:val="00FB1D6F"/>
    <w:rsid w:val="00FB4C21"/>
    <w:rsid w:val="00FE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EED3C"/>
  <w15:docId w15:val="{42232582-C501-42CC-ACC6-E8AB663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04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12"/>
  </w:style>
  <w:style w:type="paragraph" w:styleId="Footer">
    <w:name w:val="footer"/>
    <w:basedOn w:val="Normal"/>
    <w:link w:val="FooterChar"/>
    <w:uiPriority w:val="99"/>
    <w:unhideWhenUsed/>
    <w:rsid w:val="00110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12"/>
  </w:style>
  <w:style w:type="paragraph" w:styleId="BalloonText">
    <w:name w:val="Balloon Text"/>
    <w:basedOn w:val="Normal"/>
    <w:link w:val="BalloonTextChar"/>
    <w:uiPriority w:val="99"/>
    <w:semiHidden/>
    <w:unhideWhenUsed/>
    <w:rsid w:val="001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12"/>
    <w:rPr>
      <w:rFonts w:ascii="Tahoma" w:hAnsi="Tahoma" w:cs="Tahoma"/>
      <w:sz w:val="16"/>
      <w:szCs w:val="16"/>
    </w:rPr>
  </w:style>
  <w:style w:type="table" w:styleId="TableGrid">
    <w:name w:val="Table Grid"/>
    <w:basedOn w:val="TableNormal"/>
    <w:uiPriority w:val="59"/>
    <w:rsid w:val="0011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04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1041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4B85"/>
    <w:rPr>
      <w:color w:val="0000FF" w:themeColor="hyperlink"/>
      <w:u w:val="single"/>
    </w:rPr>
  </w:style>
  <w:style w:type="paragraph" w:styleId="ListParagraph">
    <w:name w:val="List Paragraph"/>
    <w:basedOn w:val="Normal"/>
    <w:uiPriority w:val="34"/>
    <w:qFormat/>
    <w:rsid w:val="00D7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7332">
      <w:bodyDiv w:val="1"/>
      <w:marLeft w:val="0"/>
      <w:marRight w:val="0"/>
      <w:marTop w:val="0"/>
      <w:marBottom w:val="0"/>
      <w:divBdr>
        <w:top w:val="none" w:sz="0" w:space="0" w:color="auto"/>
        <w:left w:val="none" w:sz="0" w:space="0" w:color="auto"/>
        <w:bottom w:val="none" w:sz="0" w:space="0" w:color="auto"/>
        <w:right w:val="none" w:sz="0" w:space="0" w:color="auto"/>
      </w:divBdr>
    </w:div>
    <w:div w:id="551117361">
      <w:bodyDiv w:val="1"/>
      <w:marLeft w:val="0"/>
      <w:marRight w:val="0"/>
      <w:marTop w:val="0"/>
      <w:marBottom w:val="0"/>
      <w:divBdr>
        <w:top w:val="none" w:sz="0" w:space="0" w:color="auto"/>
        <w:left w:val="none" w:sz="0" w:space="0" w:color="auto"/>
        <w:bottom w:val="none" w:sz="0" w:space="0" w:color="auto"/>
        <w:right w:val="none" w:sz="0" w:space="0" w:color="auto"/>
      </w:divBdr>
    </w:div>
    <w:div w:id="593172535">
      <w:bodyDiv w:val="1"/>
      <w:marLeft w:val="0"/>
      <w:marRight w:val="0"/>
      <w:marTop w:val="0"/>
      <w:marBottom w:val="0"/>
      <w:divBdr>
        <w:top w:val="none" w:sz="0" w:space="0" w:color="auto"/>
        <w:left w:val="none" w:sz="0" w:space="0" w:color="auto"/>
        <w:bottom w:val="none" w:sz="0" w:space="0" w:color="auto"/>
        <w:right w:val="none" w:sz="0" w:space="0" w:color="auto"/>
      </w:divBdr>
    </w:div>
    <w:div w:id="704211214">
      <w:bodyDiv w:val="1"/>
      <w:marLeft w:val="0"/>
      <w:marRight w:val="0"/>
      <w:marTop w:val="0"/>
      <w:marBottom w:val="0"/>
      <w:divBdr>
        <w:top w:val="none" w:sz="0" w:space="0" w:color="auto"/>
        <w:left w:val="none" w:sz="0" w:space="0" w:color="auto"/>
        <w:bottom w:val="none" w:sz="0" w:space="0" w:color="auto"/>
        <w:right w:val="none" w:sz="0" w:space="0" w:color="auto"/>
      </w:divBdr>
    </w:div>
    <w:div w:id="1057776385">
      <w:bodyDiv w:val="1"/>
      <w:marLeft w:val="0"/>
      <w:marRight w:val="0"/>
      <w:marTop w:val="0"/>
      <w:marBottom w:val="0"/>
      <w:divBdr>
        <w:top w:val="none" w:sz="0" w:space="0" w:color="auto"/>
        <w:left w:val="none" w:sz="0" w:space="0" w:color="auto"/>
        <w:bottom w:val="none" w:sz="0" w:space="0" w:color="auto"/>
        <w:right w:val="none" w:sz="0" w:space="0" w:color="auto"/>
      </w:divBdr>
    </w:div>
    <w:div w:id="1131895935">
      <w:bodyDiv w:val="1"/>
      <w:marLeft w:val="0"/>
      <w:marRight w:val="0"/>
      <w:marTop w:val="0"/>
      <w:marBottom w:val="0"/>
      <w:divBdr>
        <w:top w:val="none" w:sz="0" w:space="0" w:color="auto"/>
        <w:left w:val="none" w:sz="0" w:space="0" w:color="auto"/>
        <w:bottom w:val="none" w:sz="0" w:space="0" w:color="auto"/>
        <w:right w:val="none" w:sz="0" w:space="0" w:color="auto"/>
      </w:divBdr>
    </w:div>
    <w:div w:id="1499999619">
      <w:bodyDiv w:val="1"/>
      <w:marLeft w:val="0"/>
      <w:marRight w:val="0"/>
      <w:marTop w:val="0"/>
      <w:marBottom w:val="0"/>
      <w:divBdr>
        <w:top w:val="none" w:sz="0" w:space="0" w:color="auto"/>
        <w:left w:val="none" w:sz="0" w:space="0" w:color="auto"/>
        <w:bottom w:val="none" w:sz="0" w:space="0" w:color="auto"/>
        <w:right w:val="none" w:sz="0" w:space="0" w:color="auto"/>
      </w:divBdr>
    </w:div>
    <w:div w:id="1687712182">
      <w:bodyDiv w:val="1"/>
      <w:marLeft w:val="0"/>
      <w:marRight w:val="0"/>
      <w:marTop w:val="0"/>
      <w:marBottom w:val="0"/>
      <w:divBdr>
        <w:top w:val="none" w:sz="0" w:space="0" w:color="auto"/>
        <w:left w:val="none" w:sz="0" w:space="0" w:color="auto"/>
        <w:bottom w:val="none" w:sz="0" w:space="0" w:color="auto"/>
        <w:right w:val="none" w:sz="0" w:space="0" w:color="auto"/>
      </w:divBdr>
    </w:div>
    <w:div w:id="1706438851">
      <w:bodyDiv w:val="1"/>
      <w:marLeft w:val="0"/>
      <w:marRight w:val="0"/>
      <w:marTop w:val="0"/>
      <w:marBottom w:val="0"/>
      <w:divBdr>
        <w:top w:val="none" w:sz="0" w:space="0" w:color="auto"/>
        <w:left w:val="none" w:sz="0" w:space="0" w:color="auto"/>
        <w:bottom w:val="none" w:sz="0" w:space="0" w:color="auto"/>
        <w:right w:val="none" w:sz="0" w:space="0" w:color="auto"/>
      </w:divBdr>
    </w:div>
    <w:div w:id="19056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urrent/title-2/subtitle-A/chapter-II/part-200/subpart-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623C2CEAF7748B7FF825E3009A3FA" ma:contentTypeVersion="4" ma:contentTypeDescription="Create a new document." ma:contentTypeScope="" ma:versionID="682b306c4a38b9f81179da16c9c01767">
  <xsd:schema xmlns:xsd="http://www.w3.org/2001/XMLSchema" xmlns:xs="http://www.w3.org/2001/XMLSchema" xmlns:p="http://schemas.microsoft.com/office/2006/metadata/properties" xmlns:ns2="dff2bf2f-f2df-418f-a8ff-3bc0471eb7f9" targetNamespace="http://schemas.microsoft.com/office/2006/metadata/properties" ma:root="true" ma:fieldsID="75aa6e64ebf18f8c9438de42a687c7fb" ns2:_="">
    <xsd:import namespace="dff2bf2f-f2df-418f-a8ff-3bc0471eb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bf2f-f2df-418f-a8ff-3bc0471e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3D4CC-F5C7-46B8-8208-C50D029D7C6D}">
  <ds:schemaRefs>
    <ds:schemaRef ds:uri="http://schemas.microsoft.com/sharepoint/v3/contenttype/forms"/>
  </ds:schemaRefs>
</ds:datastoreItem>
</file>

<file path=customXml/itemProps2.xml><?xml version="1.0" encoding="utf-8"?>
<ds:datastoreItem xmlns:ds="http://schemas.openxmlformats.org/officeDocument/2006/customXml" ds:itemID="{DB679EAD-E8D8-45D8-9AE3-713FF94B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bf2f-f2df-418f-a8ff-3bc0471eb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925D8-1C10-4822-AB6E-1A9CB8DA6F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315</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rmsilva</dc:creator>
  <cp:lastModifiedBy>Lacey-Younge, Kate, ENV</cp:lastModifiedBy>
  <cp:revision>22</cp:revision>
  <dcterms:created xsi:type="dcterms:W3CDTF">2025-01-27T15:55:00Z</dcterms:created>
  <dcterms:modified xsi:type="dcterms:W3CDTF">2025-02-19T23:13:00Z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0x010100F11623C2CEAF7748B7FF825E3009A3FA</vt:lpwstr>
  </property>
</Properties>
</file>