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5FBD05" w14:textId="6C24F91F" w:rsidR="002E440A" w:rsidRDefault="004347F1" w:rsidP="00157C3C">
      <w:pPr>
        <w:jc w:val="center"/>
        <w:rPr>
          <w:b/>
        </w:rPr>
      </w:pPr>
      <w:r w:rsidRPr="00157C3C">
        <w:rPr>
          <w:b/>
        </w:rPr>
        <w:t xml:space="preserve">River Stewardship </w:t>
      </w:r>
      <w:r w:rsidR="00650D60">
        <w:rPr>
          <w:b/>
        </w:rPr>
        <w:t xml:space="preserve">Program </w:t>
      </w:r>
      <w:r w:rsidR="00646A84">
        <w:rPr>
          <w:b/>
        </w:rPr>
        <w:t>Frequently Asked Questions (FAQ)</w:t>
      </w:r>
      <w:r w:rsidR="00543728">
        <w:rPr>
          <w:b/>
        </w:rPr>
        <w:t>s</w:t>
      </w:r>
    </w:p>
    <w:p w14:paraId="61761119" w14:textId="79BEEB96" w:rsidR="00D372C6" w:rsidRPr="00157C3C" w:rsidRDefault="00D372C6" w:rsidP="00157C3C">
      <w:pPr>
        <w:jc w:val="center"/>
        <w:rPr>
          <w:b/>
        </w:rPr>
      </w:pPr>
      <w:r>
        <w:rPr>
          <w:b/>
        </w:rPr>
        <w:t xml:space="preserve">Version: </w:t>
      </w:r>
      <w:r w:rsidR="00381573">
        <w:rPr>
          <w:b/>
        </w:rPr>
        <w:t xml:space="preserve">September </w:t>
      </w:r>
      <w:r w:rsidR="008A175E">
        <w:rPr>
          <w:b/>
        </w:rPr>
        <w:t>29</w:t>
      </w:r>
      <w:r w:rsidR="00381573">
        <w:rPr>
          <w:b/>
        </w:rPr>
        <w:t>, 2025</w:t>
      </w:r>
    </w:p>
    <w:p w14:paraId="5CE36E6A" w14:textId="77777777" w:rsidR="004347F1" w:rsidRDefault="004347F1"/>
    <w:tbl>
      <w:tblPr>
        <w:tblStyle w:val="TableGrid"/>
        <w:tblW w:w="9576" w:type="dxa"/>
        <w:tblLayout w:type="fixed"/>
        <w:tblLook w:val="04A0" w:firstRow="1" w:lastRow="0" w:firstColumn="1" w:lastColumn="0" w:noHBand="0" w:noVBand="1"/>
      </w:tblPr>
      <w:tblGrid>
        <w:gridCol w:w="558"/>
        <w:gridCol w:w="1890"/>
        <w:gridCol w:w="7128"/>
      </w:tblGrid>
      <w:tr w:rsidR="004347F1" w14:paraId="70E6F18C" w14:textId="77777777" w:rsidTr="006862C2">
        <w:tc>
          <w:tcPr>
            <w:tcW w:w="558" w:type="dxa"/>
          </w:tcPr>
          <w:p w14:paraId="1C0FAD41" w14:textId="77777777" w:rsidR="004347F1" w:rsidRPr="00CD659B" w:rsidRDefault="003931F5">
            <w:pPr>
              <w:rPr>
                <w:b/>
              </w:rPr>
            </w:pPr>
            <w:r w:rsidRPr="00CD659B">
              <w:rPr>
                <w:b/>
              </w:rPr>
              <w:t>#</w:t>
            </w:r>
          </w:p>
        </w:tc>
        <w:tc>
          <w:tcPr>
            <w:tcW w:w="1890" w:type="dxa"/>
          </w:tcPr>
          <w:p w14:paraId="20765ACD" w14:textId="77777777" w:rsidR="004347F1" w:rsidRPr="00CD659B" w:rsidRDefault="004347F1">
            <w:pPr>
              <w:rPr>
                <w:b/>
              </w:rPr>
            </w:pPr>
            <w:r w:rsidRPr="00CD659B">
              <w:rPr>
                <w:b/>
              </w:rPr>
              <w:t>Question</w:t>
            </w:r>
          </w:p>
        </w:tc>
        <w:tc>
          <w:tcPr>
            <w:tcW w:w="7128" w:type="dxa"/>
          </w:tcPr>
          <w:p w14:paraId="7786292F" w14:textId="77777777" w:rsidR="004347F1" w:rsidRPr="00CD659B" w:rsidRDefault="004347F1">
            <w:pPr>
              <w:rPr>
                <w:b/>
              </w:rPr>
            </w:pPr>
            <w:r w:rsidRPr="00CD659B">
              <w:rPr>
                <w:b/>
              </w:rPr>
              <w:t>Answer</w:t>
            </w:r>
          </w:p>
        </w:tc>
      </w:tr>
      <w:tr w:rsidR="004347F1" w14:paraId="6ADFC0D3" w14:textId="77777777" w:rsidTr="006862C2">
        <w:tc>
          <w:tcPr>
            <w:tcW w:w="558" w:type="dxa"/>
          </w:tcPr>
          <w:p w14:paraId="66CD8344" w14:textId="77777777" w:rsidR="004347F1" w:rsidRPr="00CD659B" w:rsidRDefault="003931F5">
            <w:pPr>
              <w:rPr>
                <w:b/>
              </w:rPr>
            </w:pPr>
            <w:r w:rsidRPr="00CD659B">
              <w:rPr>
                <w:b/>
              </w:rPr>
              <w:t>1.</w:t>
            </w:r>
          </w:p>
        </w:tc>
        <w:tc>
          <w:tcPr>
            <w:tcW w:w="1890" w:type="dxa"/>
          </w:tcPr>
          <w:p w14:paraId="7531A7D5" w14:textId="41DAFD45" w:rsidR="004347F1" w:rsidRDefault="004347F1">
            <w:r>
              <w:t xml:space="preserve">What is the source of the </w:t>
            </w:r>
            <w:r w:rsidR="00457ECE">
              <w:t xml:space="preserve">River Stewardship Program </w:t>
            </w:r>
            <w:r>
              <w:t xml:space="preserve">funding and how much is </w:t>
            </w:r>
            <w:r w:rsidR="00CA6CDA">
              <w:t xml:space="preserve">currently </w:t>
            </w:r>
            <w:r>
              <w:t>available?</w:t>
            </w:r>
          </w:p>
        </w:tc>
        <w:tc>
          <w:tcPr>
            <w:tcW w:w="7128" w:type="dxa"/>
          </w:tcPr>
          <w:p w14:paraId="3C099F85" w14:textId="410CC3CF" w:rsidR="004347F1" w:rsidRDefault="007A343F" w:rsidP="0072788F">
            <w:r>
              <w:t xml:space="preserve">Currently, </w:t>
            </w:r>
            <w:r w:rsidR="004E64C3">
              <w:t xml:space="preserve">New Mexico Environment Department (NMED) </w:t>
            </w:r>
            <w:r>
              <w:t xml:space="preserve">receives </w:t>
            </w:r>
            <w:r w:rsidR="00381573">
              <w:t>year</w:t>
            </w:r>
            <w:r>
              <w:t>ly</w:t>
            </w:r>
            <w:r w:rsidR="00381573">
              <w:t xml:space="preserve"> appropriations from</w:t>
            </w:r>
            <w:r w:rsidR="004E64C3">
              <w:t xml:space="preserve"> the New Mexico Legislature </w:t>
            </w:r>
            <w:r w:rsidR="00B67071">
              <w:t>to plan, design and construct projects that improve surface water quality and river habitat statewide.</w:t>
            </w:r>
            <w:r w:rsidR="004E64C3">
              <w:t xml:space="preserve"> This addresses a critical surface water quality need and provides needed matching funds for New Mexico to</w:t>
            </w:r>
            <w:r w:rsidR="00CD659B">
              <w:t xml:space="preserve"> continue to</w:t>
            </w:r>
            <w:r w:rsidR="004E64C3">
              <w:t xml:space="preserve"> receive federal Clean Water Act funds. </w:t>
            </w:r>
          </w:p>
          <w:p w14:paraId="4BC6FDAE" w14:textId="77777777" w:rsidR="00381573" w:rsidRDefault="00381573" w:rsidP="0072788F"/>
          <w:p w14:paraId="28D8EFD8" w14:textId="0D947DEB" w:rsidR="00673362" w:rsidRDefault="00673362" w:rsidP="0072788F">
            <w:r>
              <w:t xml:space="preserve">Additionally, NMED </w:t>
            </w:r>
            <w:r w:rsidR="00381573">
              <w:t xml:space="preserve">receives 10% annually from the Land of Enchantment Legacy Fund (beginning in July 2024), established by the New Mexico Legislature in 2023.  </w:t>
            </w:r>
          </w:p>
          <w:p w14:paraId="78540A7D" w14:textId="77777777" w:rsidR="009038CB" w:rsidRDefault="009038CB" w:rsidP="0072788F"/>
          <w:p w14:paraId="0D00984F" w14:textId="6C2D009C" w:rsidR="009038CB" w:rsidRDefault="00381573" w:rsidP="0072788F">
            <w:r>
              <w:t xml:space="preserve">We expect to have </w:t>
            </w:r>
            <w:r w:rsidR="009038CB">
              <w:t>approximately $</w:t>
            </w:r>
            <w:r>
              <w:t>1.5</w:t>
            </w:r>
            <w:r w:rsidR="009038CB">
              <w:t xml:space="preserve"> million to $</w:t>
            </w:r>
            <w:r>
              <w:t>7</w:t>
            </w:r>
            <w:r w:rsidR="009038CB">
              <w:t xml:space="preserve"> million in funding available </w:t>
            </w:r>
            <w:r>
              <w:t>annually</w:t>
            </w:r>
            <w:r w:rsidR="00E35597">
              <w:t>.</w:t>
            </w:r>
            <w:r w:rsidR="009038CB">
              <w:t xml:space="preserve"> River Stewardship Program </w:t>
            </w:r>
            <w:r w:rsidR="00E35597">
              <w:t xml:space="preserve">projects are selected through a </w:t>
            </w:r>
            <w:r w:rsidR="009038CB">
              <w:t>Request for Proposals</w:t>
            </w:r>
            <w:r w:rsidR="00E35597">
              <w:t xml:space="preserve"> (RFP)</w:t>
            </w:r>
            <w:r w:rsidR="009038CB">
              <w:t xml:space="preserve">. </w:t>
            </w:r>
          </w:p>
        </w:tc>
      </w:tr>
      <w:tr w:rsidR="004347F1" w14:paraId="04F2CBCC" w14:textId="77777777" w:rsidTr="006862C2">
        <w:tc>
          <w:tcPr>
            <w:tcW w:w="558" w:type="dxa"/>
          </w:tcPr>
          <w:p w14:paraId="24F54C59" w14:textId="77777777" w:rsidR="004347F1" w:rsidRPr="00CD659B" w:rsidRDefault="003931F5">
            <w:pPr>
              <w:rPr>
                <w:b/>
              </w:rPr>
            </w:pPr>
            <w:r w:rsidRPr="00CD659B">
              <w:rPr>
                <w:b/>
              </w:rPr>
              <w:t>2.</w:t>
            </w:r>
          </w:p>
        </w:tc>
        <w:tc>
          <w:tcPr>
            <w:tcW w:w="1890" w:type="dxa"/>
          </w:tcPr>
          <w:p w14:paraId="717EC92C" w14:textId="77777777" w:rsidR="004347F1" w:rsidRDefault="00457ECE" w:rsidP="00457ECE">
            <w:r>
              <w:t>What is the</w:t>
            </w:r>
            <w:r w:rsidR="004347F1">
              <w:t xml:space="preserve"> minimum </w:t>
            </w:r>
            <w:r>
              <w:t xml:space="preserve">and </w:t>
            </w:r>
            <w:r w:rsidR="004347F1">
              <w:t>maximum project amount</w:t>
            </w:r>
            <w:r>
              <w:t xml:space="preserve"> that the River Stewardship Program will fund</w:t>
            </w:r>
            <w:r w:rsidR="004347F1">
              <w:t>?</w:t>
            </w:r>
          </w:p>
        </w:tc>
        <w:tc>
          <w:tcPr>
            <w:tcW w:w="7128" w:type="dxa"/>
          </w:tcPr>
          <w:p w14:paraId="27F88AD5" w14:textId="272AAA73" w:rsidR="004347F1" w:rsidRDefault="004E64C3">
            <w:r>
              <w:t xml:space="preserve">There </w:t>
            </w:r>
            <w:r w:rsidR="00673362">
              <w:t xml:space="preserve">are </w:t>
            </w:r>
            <w:r>
              <w:t>no maximum or minimum, however, funds are limited</w:t>
            </w:r>
            <w:r w:rsidR="004347F1">
              <w:t>.</w:t>
            </w:r>
            <w:r>
              <w:t xml:space="preserve"> </w:t>
            </w:r>
            <w:r w:rsidR="009038CB">
              <w:t>The average project cost is approximately $</w:t>
            </w:r>
            <w:r w:rsidR="00381573">
              <w:t>5</w:t>
            </w:r>
            <w:r w:rsidR="009038CB">
              <w:t>00,000. Past p</w:t>
            </w:r>
            <w:r>
              <w:t>roject</w:t>
            </w:r>
            <w:r w:rsidR="00673362">
              <w:t xml:space="preserve"> costs have</w:t>
            </w:r>
            <w:r>
              <w:t xml:space="preserve"> range</w:t>
            </w:r>
            <w:r w:rsidR="00673362">
              <w:t>d</w:t>
            </w:r>
            <w:r>
              <w:t xml:space="preserve"> from $</w:t>
            </w:r>
            <w:r w:rsidR="00673362">
              <w:t>50</w:t>
            </w:r>
            <w:r>
              <w:t>,000 to $</w:t>
            </w:r>
            <w:r w:rsidR="009038CB">
              <w:t>2</w:t>
            </w:r>
            <w:r>
              <w:t>.</w:t>
            </w:r>
            <w:r w:rsidR="009038CB">
              <w:t xml:space="preserve">4 million. </w:t>
            </w:r>
          </w:p>
        </w:tc>
      </w:tr>
      <w:tr w:rsidR="004347F1" w14:paraId="2EB99250" w14:textId="77777777" w:rsidTr="006862C2">
        <w:tc>
          <w:tcPr>
            <w:tcW w:w="558" w:type="dxa"/>
          </w:tcPr>
          <w:p w14:paraId="71811059" w14:textId="77777777" w:rsidR="004347F1" w:rsidRPr="00CD659B" w:rsidRDefault="003931F5">
            <w:pPr>
              <w:rPr>
                <w:b/>
              </w:rPr>
            </w:pPr>
            <w:r w:rsidRPr="00CD659B">
              <w:rPr>
                <w:b/>
              </w:rPr>
              <w:t>3.</w:t>
            </w:r>
          </w:p>
        </w:tc>
        <w:tc>
          <w:tcPr>
            <w:tcW w:w="1890" w:type="dxa"/>
          </w:tcPr>
          <w:p w14:paraId="7F5D0BDB" w14:textId="77777777" w:rsidR="004347F1" w:rsidRDefault="004347F1">
            <w:r>
              <w:t xml:space="preserve">How will the projects be selected? </w:t>
            </w:r>
          </w:p>
        </w:tc>
        <w:tc>
          <w:tcPr>
            <w:tcW w:w="7128" w:type="dxa"/>
          </w:tcPr>
          <w:p w14:paraId="2F9CD58F" w14:textId="56F1F33B" w:rsidR="004347F1" w:rsidRDefault="004347F1" w:rsidP="00CA6CDA">
            <w:r>
              <w:t>NMED will follow the state procurement rules</w:t>
            </w:r>
            <w:r w:rsidR="00E30C77">
              <w:t xml:space="preserve">. </w:t>
            </w:r>
            <w:proofErr w:type="gramStart"/>
            <w:r>
              <w:t>A</w:t>
            </w:r>
            <w:proofErr w:type="gramEnd"/>
            <w:r w:rsidR="00E35597">
              <w:t xml:space="preserve"> </w:t>
            </w:r>
            <w:proofErr w:type="gramStart"/>
            <w:r w:rsidR="00B67071">
              <w:t>RFP</w:t>
            </w:r>
            <w:proofErr w:type="gramEnd"/>
            <w:r w:rsidR="00B67071">
              <w:t xml:space="preserve"> </w:t>
            </w:r>
            <w:r>
              <w:t xml:space="preserve">will be </w:t>
            </w:r>
            <w:r w:rsidR="00826297">
              <w:t>issued,</w:t>
            </w:r>
            <w:r>
              <w:t xml:space="preserve"> and applicants will have </w:t>
            </w:r>
            <w:r w:rsidR="006630E1">
              <w:t>1-2 months</w:t>
            </w:r>
            <w:r w:rsidR="004E64C3">
              <w:t xml:space="preserve"> </w:t>
            </w:r>
            <w:r>
              <w:t xml:space="preserve">to prepare proposals. </w:t>
            </w:r>
            <w:r w:rsidR="00264BE7">
              <w:t>Proposals will be selected based on their merits</w:t>
            </w:r>
            <w:r w:rsidR="00673362">
              <w:t xml:space="preserve"> in response to the requested information in the RFP</w:t>
            </w:r>
            <w:r w:rsidR="00264BE7">
              <w:t xml:space="preserve">. </w:t>
            </w:r>
            <w:r>
              <w:t xml:space="preserve">An evaluation committee will rank proposals based on </w:t>
            </w:r>
            <w:r w:rsidR="00264BE7">
              <w:t xml:space="preserve">evaluation </w:t>
            </w:r>
            <w:r>
              <w:t>criteria stated within the RFP.</w:t>
            </w:r>
            <w:r w:rsidR="006630E1">
              <w:t xml:space="preserve"> Note: The RFP process can take up to 1 year from opening the RFP to executing contracts. </w:t>
            </w:r>
          </w:p>
        </w:tc>
      </w:tr>
      <w:tr w:rsidR="004347F1" w14:paraId="2293FEEA" w14:textId="77777777" w:rsidTr="006862C2">
        <w:tc>
          <w:tcPr>
            <w:tcW w:w="558" w:type="dxa"/>
          </w:tcPr>
          <w:p w14:paraId="202EC5DB" w14:textId="77777777" w:rsidR="004347F1" w:rsidRPr="00CD659B" w:rsidRDefault="003931F5">
            <w:pPr>
              <w:rPr>
                <w:b/>
              </w:rPr>
            </w:pPr>
            <w:r w:rsidRPr="00CD659B">
              <w:rPr>
                <w:b/>
              </w:rPr>
              <w:t>4.</w:t>
            </w:r>
          </w:p>
        </w:tc>
        <w:tc>
          <w:tcPr>
            <w:tcW w:w="1890" w:type="dxa"/>
          </w:tcPr>
          <w:p w14:paraId="3D691E47" w14:textId="77777777" w:rsidR="004347F1" w:rsidRDefault="004347F1">
            <w:r>
              <w:t xml:space="preserve">Who is eligible to apply for funding? </w:t>
            </w:r>
          </w:p>
        </w:tc>
        <w:tc>
          <w:tcPr>
            <w:tcW w:w="7128" w:type="dxa"/>
          </w:tcPr>
          <w:p w14:paraId="04BB5AB8" w14:textId="16EF37D6" w:rsidR="004347F1" w:rsidRDefault="004347F1" w:rsidP="00CA6CDA">
            <w:r w:rsidRPr="00DF7520">
              <w:t>There is broad eligibility</w:t>
            </w:r>
            <w:r w:rsidR="00DF7520">
              <w:t xml:space="preserve"> for applying for funding. </w:t>
            </w:r>
            <w:r w:rsidR="008D6DA3">
              <w:t xml:space="preserve">Eligible </w:t>
            </w:r>
            <w:r w:rsidR="008D6DA3" w:rsidRPr="00076EB9">
              <w:t xml:space="preserve">Offerors </w:t>
            </w:r>
            <w:proofErr w:type="gramStart"/>
            <w:r w:rsidR="008D6DA3" w:rsidRPr="00076EB9">
              <w:t>include:</w:t>
            </w:r>
            <w:proofErr w:type="gramEnd"/>
            <w:r w:rsidR="008D6DA3" w:rsidRPr="00076EB9">
              <w:t xml:space="preserve"> towns, cities</w:t>
            </w:r>
            <w:r w:rsidR="004771C4">
              <w:t>,</w:t>
            </w:r>
            <w:r w:rsidR="008D6DA3" w:rsidRPr="00076EB9">
              <w:t xml:space="preserve"> counties, soil and water conservation districts, irrigation districts, for-profit and not-for profit organizations, </w:t>
            </w:r>
            <w:r w:rsidR="00673362">
              <w:t xml:space="preserve">state agencies, </w:t>
            </w:r>
            <w:r w:rsidR="008D6DA3" w:rsidRPr="00076EB9">
              <w:t>Indian Nations, Pueblos and Tribes. Federal agencies are not eligible</w:t>
            </w:r>
            <w:r w:rsidR="00CA6CDA">
              <w:t>.</w:t>
            </w:r>
            <w:r w:rsidR="008D6DA3" w:rsidRPr="00076EB9">
              <w:t xml:space="preserve"> </w:t>
            </w:r>
            <w:proofErr w:type="gramStart"/>
            <w:r w:rsidR="008D6DA3" w:rsidRPr="00076EB9">
              <w:t>In order to</w:t>
            </w:r>
            <w:proofErr w:type="gramEnd"/>
            <w:r w:rsidR="008D6DA3" w:rsidRPr="00076EB9">
              <w:t xml:space="preserve"> establish a </w:t>
            </w:r>
            <w:r w:rsidR="00CA6CDA">
              <w:t xml:space="preserve">contract </w:t>
            </w:r>
            <w:r w:rsidR="008D6DA3" w:rsidRPr="00076EB9">
              <w:t>with the State of New Mexico, an Offeror must register as a vendor for the state with the New Mexico Department of Finance and Administration and either be a registered business with the New Mexico Taxation and Revenue Department</w:t>
            </w:r>
            <w:r w:rsidR="00673362">
              <w:t xml:space="preserve"> </w:t>
            </w:r>
            <w:r w:rsidR="008D6DA3" w:rsidRPr="00076EB9">
              <w:t xml:space="preserve">or be a government entity. </w:t>
            </w:r>
            <w:r w:rsidR="009038CB">
              <w:t xml:space="preserve">Entities must also be registered on SAM.gov and have a public, active profile in good standing. </w:t>
            </w:r>
          </w:p>
        </w:tc>
      </w:tr>
      <w:tr w:rsidR="004347F1" w14:paraId="1D944C88" w14:textId="77777777" w:rsidTr="006862C2">
        <w:tc>
          <w:tcPr>
            <w:tcW w:w="558" w:type="dxa"/>
          </w:tcPr>
          <w:p w14:paraId="22A72815" w14:textId="77777777" w:rsidR="004347F1" w:rsidRPr="00CD659B" w:rsidRDefault="003931F5">
            <w:pPr>
              <w:rPr>
                <w:b/>
              </w:rPr>
            </w:pPr>
            <w:r w:rsidRPr="00CD659B">
              <w:rPr>
                <w:b/>
              </w:rPr>
              <w:t>5.</w:t>
            </w:r>
          </w:p>
        </w:tc>
        <w:tc>
          <w:tcPr>
            <w:tcW w:w="1890" w:type="dxa"/>
          </w:tcPr>
          <w:p w14:paraId="01B975A4" w14:textId="77777777" w:rsidR="004347F1" w:rsidRDefault="00CA2028">
            <w:r>
              <w:t>What are the priority areas for funding?</w:t>
            </w:r>
          </w:p>
        </w:tc>
        <w:tc>
          <w:tcPr>
            <w:tcW w:w="7128" w:type="dxa"/>
          </w:tcPr>
          <w:p w14:paraId="308947CD" w14:textId="416E9E63" w:rsidR="00FD459C" w:rsidRDefault="0059482C" w:rsidP="00B67071">
            <w:r>
              <w:t>NMED</w:t>
            </w:r>
            <w:r w:rsidR="004E64C3">
              <w:t xml:space="preserve"> </w:t>
            </w:r>
            <w:r w:rsidR="00381573">
              <w:t xml:space="preserve">does </w:t>
            </w:r>
            <w:r w:rsidR="004E64C3">
              <w:t>not</w:t>
            </w:r>
            <w:r w:rsidR="00381573">
              <w:t xml:space="preserve"> currently</w:t>
            </w:r>
            <w:r w:rsidR="004E64C3">
              <w:t xml:space="preserve"> identify priority areas for </w:t>
            </w:r>
            <w:r w:rsidR="00673362">
              <w:t xml:space="preserve">River Stewardship Program </w:t>
            </w:r>
            <w:r w:rsidR="004E64C3">
              <w:t>funding. The Offeror must describe water quality and/or stream habitat impairments using existing information about a site.</w:t>
            </w:r>
            <w:r w:rsidR="007A6175">
              <w:t xml:space="preserve"> The </w:t>
            </w:r>
            <w:r w:rsidR="007A6175">
              <w:lastRenderedPageBreak/>
              <w:t xml:space="preserve">River Stewardship Program does score proposals based on </w:t>
            </w:r>
            <w:proofErr w:type="gramStart"/>
            <w:r w:rsidR="007A6175">
              <w:t>if</w:t>
            </w:r>
            <w:proofErr w:type="gramEnd"/>
            <w:r w:rsidR="007A6175">
              <w:t xml:space="preserve"> a plan has been completed for the area. </w:t>
            </w:r>
            <w:r w:rsidR="00381573">
              <w:t xml:space="preserve">In future requests, NMED may </w:t>
            </w:r>
            <w:r w:rsidR="007A343F">
              <w:t>require or score</w:t>
            </w:r>
            <w:r w:rsidR="00381573">
              <w:t xml:space="preserve"> proposals </w:t>
            </w:r>
            <w:r w:rsidR="007A6175">
              <w:t>if they have a</w:t>
            </w:r>
            <w:r w:rsidR="007A343F">
              <w:t>n EPA w</w:t>
            </w:r>
            <w:r w:rsidR="00381573">
              <w:t>atershed</w:t>
            </w:r>
            <w:r w:rsidR="007A343F">
              <w:t>-b</w:t>
            </w:r>
            <w:r w:rsidR="00381573">
              <w:t xml:space="preserve">ased </w:t>
            </w:r>
            <w:r w:rsidR="007A343F">
              <w:t>p</w:t>
            </w:r>
            <w:r w:rsidR="00381573">
              <w:t xml:space="preserve">lan. </w:t>
            </w:r>
          </w:p>
        </w:tc>
      </w:tr>
      <w:tr w:rsidR="0035658D" w14:paraId="7D433A5A" w14:textId="77777777" w:rsidTr="006862C2">
        <w:tc>
          <w:tcPr>
            <w:tcW w:w="558" w:type="dxa"/>
          </w:tcPr>
          <w:p w14:paraId="5D48B4B4" w14:textId="7B1D52B6" w:rsidR="0035658D" w:rsidRPr="00CD659B" w:rsidRDefault="0035658D">
            <w:pPr>
              <w:rPr>
                <w:b/>
              </w:rPr>
            </w:pPr>
            <w:r w:rsidRPr="00CD659B">
              <w:rPr>
                <w:b/>
              </w:rPr>
              <w:lastRenderedPageBreak/>
              <w:t>6.</w:t>
            </w:r>
          </w:p>
        </w:tc>
        <w:tc>
          <w:tcPr>
            <w:tcW w:w="1890" w:type="dxa"/>
          </w:tcPr>
          <w:p w14:paraId="4949392D" w14:textId="2EFB0C20" w:rsidR="0035658D" w:rsidRDefault="0035658D">
            <w:r>
              <w:t>What kind of projects will be funded?</w:t>
            </w:r>
          </w:p>
        </w:tc>
        <w:tc>
          <w:tcPr>
            <w:tcW w:w="7128" w:type="dxa"/>
          </w:tcPr>
          <w:p w14:paraId="192360BF" w14:textId="01990525" w:rsidR="0035658D" w:rsidRDefault="0035658D" w:rsidP="0011504E">
            <w:r>
              <w:t xml:space="preserve">NMED is seeking projects that improve surface water quality or river habitat within a waterway or its associated riparian area or floodplain through on-the-ground activities that may be accompanied by changes in land management. </w:t>
            </w:r>
            <w:r w:rsidR="0018617F">
              <w:t>Surface w</w:t>
            </w:r>
            <w:r w:rsidR="005F2AFC">
              <w:t xml:space="preserve">aters of the State of New Mexico </w:t>
            </w:r>
            <w:r w:rsidR="0018617F">
              <w:t xml:space="preserve">as defined in NMAC 20.6.4.7 are eligible for funding. </w:t>
            </w:r>
            <w:r w:rsidR="007A6175">
              <w:t xml:space="preserve">Although monitoring is important to improving surface water quality it is not the primary focus of the River Stewardship Program and cannot be funded as a standalone project.  </w:t>
            </w:r>
          </w:p>
        </w:tc>
      </w:tr>
      <w:tr w:rsidR="0035658D" w14:paraId="069BE107" w14:textId="77777777" w:rsidTr="006862C2">
        <w:tc>
          <w:tcPr>
            <w:tcW w:w="558" w:type="dxa"/>
          </w:tcPr>
          <w:p w14:paraId="17228D07" w14:textId="66FF7BE3" w:rsidR="0035658D" w:rsidRPr="00CD659B" w:rsidRDefault="0035658D">
            <w:pPr>
              <w:rPr>
                <w:b/>
              </w:rPr>
            </w:pPr>
            <w:r w:rsidRPr="00CD659B">
              <w:rPr>
                <w:b/>
              </w:rPr>
              <w:t>7.</w:t>
            </w:r>
          </w:p>
        </w:tc>
        <w:tc>
          <w:tcPr>
            <w:tcW w:w="1890" w:type="dxa"/>
          </w:tcPr>
          <w:p w14:paraId="23890276" w14:textId="724092EC" w:rsidR="0035658D" w:rsidRDefault="0035658D">
            <w:r>
              <w:t>Are projects on government lands eligible?</w:t>
            </w:r>
          </w:p>
        </w:tc>
        <w:tc>
          <w:tcPr>
            <w:tcW w:w="7128" w:type="dxa"/>
          </w:tcPr>
          <w:p w14:paraId="5A303631" w14:textId="4C36D7D0" w:rsidR="0035658D" w:rsidRDefault="0035658D" w:rsidP="00E30C77">
            <w:r>
              <w:t>Yes, projects on government lands are eligible</w:t>
            </w:r>
            <w:r w:rsidR="006630E1">
              <w:t xml:space="preserve">. </w:t>
            </w:r>
          </w:p>
        </w:tc>
      </w:tr>
      <w:tr w:rsidR="0035658D" w14:paraId="5E56FD32" w14:textId="77777777" w:rsidTr="006862C2">
        <w:tc>
          <w:tcPr>
            <w:tcW w:w="558" w:type="dxa"/>
          </w:tcPr>
          <w:p w14:paraId="25147A40" w14:textId="2D93E374" w:rsidR="0035658D" w:rsidRPr="00CD659B" w:rsidRDefault="0035658D">
            <w:pPr>
              <w:rPr>
                <w:b/>
              </w:rPr>
            </w:pPr>
            <w:r w:rsidRPr="00CD659B">
              <w:rPr>
                <w:b/>
              </w:rPr>
              <w:t>8.</w:t>
            </w:r>
          </w:p>
        </w:tc>
        <w:tc>
          <w:tcPr>
            <w:tcW w:w="1890" w:type="dxa"/>
          </w:tcPr>
          <w:p w14:paraId="1DA29F47" w14:textId="1D8994F0" w:rsidR="0035658D" w:rsidRDefault="0035658D">
            <w:r>
              <w:t>Are projects on private lands eligible?</w:t>
            </w:r>
          </w:p>
        </w:tc>
        <w:tc>
          <w:tcPr>
            <w:tcW w:w="7128" w:type="dxa"/>
          </w:tcPr>
          <w:p w14:paraId="02C518D9" w14:textId="621960A1" w:rsidR="0035658D" w:rsidRDefault="0035658D" w:rsidP="00E30C77">
            <w:r>
              <w:t xml:space="preserve">Projects on private lands may be eligible if they pass an anti-donation clause review by the Evaluation Committee and State Board of Finance. </w:t>
            </w:r>
          </w:p>
        </w:tc>
      </w:tr>
      <w:tr w:rsidR="0035658D" w14:paraId="6BDFF818" w14:textId="77777777" w:rsidTr="006862C2">
        <w:tc>
          <w:tcPr>
            <w:tcW w:w="558" w:type="dxa"/>
          </w:tcPr>
          <w:p w14:paraId="4A3C4221" w14:textId="249774D2" w:rsidR="0035658D" w:rsidRPr="00CD659B" w:rsidRDefault="0035658D">
            <w:pPr>
              <w:rPr>
                <w:b/>
              </w:rPr>
            </w:pPr>
            <w:r w:rsidRPr="00CD659B">
              <w:rPr>
                <w:b/>
              </w:rPr>
              <w:t>9.</w:t>
            </w:r>
          </w:p>
        </w:tc>
        <w:tc>
          <w:tcPr>
            <w:tcW w:w="1890" w:type="dxa"/>
          </w:tcPr>
          <w:p w14:paraId="04C1CA1A" w14:textId="616972D4" w:rsidR="0035658D" w:rsidRDefault="0035658D">
            <w:r>
              <w:t>What costs are allowable for reimbursement with River Stewardship Program Funds?</w:t>
            </w:r>
          </w:p>
        </w:tc>
        <w:tc>
          <w:tcPr>
            <w:tcW w:w="7128" w:type="dxa"/>
          </w:tcPr>
          <w:p w14:paraId="57A81A0C" w14:textId="77777777" w:rsidR="0035658D" w:rsidRPr="00E30C77" w:rsidRDefault="0035658D" w:rsidP="00E30C77">
            <w:pPr>
              <w:numPr>
                <w:ilvl w:val="0"/>
                <w:numId w:val="2"/>
              </w:numPr>
            </w:pPr>
            <w:r w:rsidRPr="00E30C77">
              <w:t>Design</w:t>
            </w:r>
          </w:p>
          <w:p w14:paraId="66FC32F2" w14:textId="77777777" w:rsidR="0035658D" w:rsidRPr="00E30C77" w:rsidRDefault="0035658D" w:rsidP="00E30C77">
            <w:pPr>
              <w:numPr>
                <w:ilvl w:val="0"/>
                <w:numId w:val="2"/>
              </w:numPr>
            </w:pPr>
            <w:r w:rsidRPr="00E30C77">
              <w:t>Permitting</w:t>
            </w:r>
          </w:p>
          <w:p w14:paraId="743B6007" w14:textId="77777777" w:rsidR="0035658D" w:rsidRPr="00E30C77" w:rsidRDefault="0035658D" w:rsidP="00E30C77">
            <w:pPr>
              <w:numPr>
                <w:ilvl w:val="0"/>
                <w:numId w:val="2"/>
              </w:numPr>
            </w:pPr>
            <w:r w:rsidRPr="00E30C77">
              <w:t>Construction</w:t>
            </w:r>
          </w:p>
          <w:p w14:paraId="24DFDEE3" w14:textId="00A632B6" w:rsidR="0035658D" w:rsidRPr="00E30C77" w:rsidRDefault="0035658D" w:rsidP="00E30C77">
            <w:pPr>
              <w:numPr>
                <w:ilvl w:val="0"/>
                <w:numId w:val="2"/>
              </w:numPr>
            </w:pPr>
            <w:r>
              <w:t>P</w:t>
            </w:r>
            <w:r w:rsidRPr="00E30C77">
              <w:t>re-and post-implementation monitoring</w:t>
            </w:r>
          </w:p>
          <w:p w14:paraId="3B766522" w14:textId="6643C6CE" w:rsidR="0035658D" w:rsidRPr="00E30C77" w:rsidRDefault="0035658D" w:rsidP="00E30C77">
            <w:pPr>
              <w:numPr>
                <w:ilvl w:val="0"/>
                <w:numId w:val="2"/>
              </w:numPr>
            </w:pPr>
            <w:r>
              <w:t>S</w:t>
            </w:r>
            <w:r w:rsidRPr="00E30C77">
              <w:t>upplies that are permanently affixed to the project</w:t>
            </w:r>
            <w:r w:rsidR="00673362">
              <w:t xml:space="preserve"> or completely expended during the project term</w:t>
            </w:r>
          </w:p>
          <w:p w14:paraId="4812ABCF" w14:textId="77777777" w:rsidR="0035658D" w:rsidRPr="00E30C77" w:rsidRDefault="0035658D" w:rsidP="00E30C77">
            <w:pPr>
              <w:numPr>
                <w:ilvl w:val="0"/>
                <w:numId w:val="2"/>
              </w:numPr>
            </w:pPr>
            <w:r w:rsidRPr="00E30C77">
              <w:t>Hourly wages for direct work on the project</w:t>
            </w:r>
          </w:p>
          <w:p w14:paraId="19730052" w14:textId="2819C5FF" w:rsidR="0035658D" w:rsidRDefault="0035658D" w:rsidP="006862C2">
            <w:pPr>
              <w:numPr>
                <w:ilvl w:val="0"/>
                <w:numId w:val="2"/>
              </w:numPr>
            </w:pPr>
            <w:r w:rsidRPr="00E30C77">
              <w:t>Equipment rental</w:t>
            </w:r>
          </w:p>
        </w:tc>
      </w:tr>
      <w:tr w:rsidR="0035658D" w14:paraId="2084CCA5" w14:textId="77777777" w:rsidTr="006862C2">
        <w:tc>
          <w:tcPr>
            <w:tcW w:w="558" w:type="dxa"/>
          </w:tcPr>
          <w:p w14:paraId="0A3D944D" w14:textId="646BE6A0" w:rsidR="0035658D" w:rsidRPr="00CD659B" w:rsidRDefault="0035658D">
            <w:pPr>
              <w:rPr>
                <w:b/>
              </w:rPr>
            </w:pPr>
            <w:r w:rsidRPr="00CD659B">
              <w:rPr>
                <w:b/>
              </w:rPr>
              <w:t>10.</w:t>
            </w:r>
          </w:p>
        </w:tc>
        <w:tc>
          <w:tcPr>
            <w:tcW w:w="1890" w:type="dxa"/>
          </w:tcPr>
          <w:p w14:paraId="776F10E1" w14:textId="1A7B718D" w:rsidR="0035658D" w:rsidRDefault="0035658D">
            <w:r>
              <w:t>What costs are not allowable for reimbursement?</w:t>
            </w:r>
          </w:p>
        </w:tc>
        <w:tc>
          <w:tcPr>
            <w:tcW w:w="7128" w:type="dxa"/>
          </w:tcPr>
          <w:p w14:paraId="2B5C7397" w14:textId="77777777" w:rsidR="0035658D" w:rsidRPr="00E30C77" w:rsidRDefault="0035658D" w:rsidP="00E30C77">
            <w:pPr>
              <w:numPr>
                <w:ilvl w:val="0"/>
                <w:numId w:val="3"/>
              </w:numPr>
            </w:pPr>
            <w:r w:rsidRPr="00E30C77">
              <w:t>Salaries or percentage of salaries</w:t>
            </w:r>
          </w:p>
          <w:p w14:paraId="14CB3DF3" w14:textId="77777777" w:rsidR="0035658D" w:rsidRPr="00E30C77" w:rsidRDefault="0035658D" w:rsidP="00E30C77">
            <w:pPr>
              <w:numPr>
                <w:ilvl w:val="0"/>
                <w:numId w:val="3"/>
              </w:numPr>
            </w:pPr>
            <w:r w:rsidRPr="00E30C77">
              <w:t>Wages for gov</w:t>
            </w:r>
            <w:r>
              <w:t>ernment</w:t>
            </w:r>
            <w:r w:rsidRPr="00E30C77">
              <w:t xml:space="preserve"> employees</w:t>
            </w:r>
          </w:p>
          <w:p w14:paraId="541461CD" w14:textId="5407A74C" w:rsidR="0035658D" w:rsidRDefault="0035658D" w:rsidP="00E30C77">
            <w:pPr>
              <w:numPr>
                <w:ilvl w:val="0"/>
                <w:numId w:val="3"/>
              </w:numPr>
            </w:pPr>
            <w:r w:rsidRPr="00E30C77">
              <w:t>Equipment or supplies that are not permanently affixed to the project</w:t>
            </w:r>
            <w:r w:rsidR="003B5099">
              <w:t xml:space="preserve"> or completely expended during the project term</w:t>
            </w:r>
          </w:p>
          <w:p w14:paraId="6D22B793" w14:textId="6769C2C0" w:rsidR="007A6175" w:rsidRPr="00E30C77" w:rsidRDefault="007A6175" w:rsidP="00E30C77">
            <w:pPr>
              <w:numPr>
                <w:ilvl w:val="0"/>
                <w:numId w:val="3"/>
              </w:numPr>
            </w:pPr>
            <w:r>
              <w:t>Soley monitoring activitie</w:t>
            </w:r>
            <w:r w:rsidR="008A175E">
              <w:t>s</w:t>
            </w:r>
            <w:r>
              <w:t xml:space="preserve"> </w:t>
            </w:r>
            <w:r w:rsidR="006630E1">
              <w:t>that are not tied to an</w:t>
            </w:r>
            <w:r>
              <w:t xml:space="preserve"> on-the-ground project</w:t>
            </w:r>
            <w:r w:rsidR="006630E1">
              <w:t>.</w:t>
            </w:r>
          </w:p>
          <w:p w14:paraId="0588F3EA" w14:textId="14184959" w:rsidR="006630E1" w:rsidRDefault="0035658D" w:rsidP="006630E1">
            <w:pPr>
              <w:numPr>
                <w:ilvl w:val="0"/>
                <w:numId w:val="3"/>
              </w:numPr>
            </w:pPr>
            <w:r w:rsidRPr="00E30C77">
              <w:t>Ongoing maintenance</w:t>
            </w:r>
            <w:r w:rsidR="00673362">
              <w:t xml:space="preserve"> beyond </w:t>
            </w:r>
            <w:r w:rsidR="006630E1">
              <w:t xml:space="preserve">a contract term. </w:t>
            </w:r>
          </w:p>
          <w:p w14:paraId="7AE78FCE" w14:textId="2EB58A57" w:rsidR="00DD15B0" w:rsidRDefault="00DD15B0" w:rsidP="006630E1">
            <w:pPr>
              <w:numPr>
                <w:ilvl w:val="0"/>
                <w:numId w:val="3"/>
              </w:numPr>
            </w:pPr>
            <w:r>
              <w:t>Land lease cost</w:t>
            </w:r>
          </w:p>
        </w:tc>
      </w:tr>
      <w:tr w:rsidR="00DD15B0" w14:paraId="351A3B47" w14:textId="77777777" w:rsidTr="006862C2">
        <w:tc>
          <w:tcPr>
            <w:tcW w:w="558" w:type="dxa"/>
          </w:tcPr>
          <w:p w14:paraId="3EB94F88" w14:textId="335B60B3" w:rsidR="00DD15B0" w:rsidRPr="00CD659B" w:rsidRDefault="00DD15B0">
            <w:pPr>
              <w:rPr>
                <w:b/>
              </w:rPr>
            </w:pPr>
            <w:r>
              <w:rPr>
                <w:b/>
              </w:rPr>
              <w:t>11.</w:t>
            </w:r>
          </w:p>
        </w:tc>
        <w:tc>
          <w:tcPr>
            <w:tcW w:w="1890" w:type="dxa"/>
          </w:tcPr>
          <w:p w14:paraId="662CEB8C" w14:textId="10856A76" w:rsidR="00DD15B0" w:rsidRDefault="00DD15B0">
            <w:r>
              <w:t>Is education and outreach an eligible cost?</w:t>
            </w:r>
          </w:p>
        </w:tc>
        <w:tc>
          <w:tcPr>
            <w:tcW w:w="7128" w:type="dxa"/>
          </w:tcPr>
          <w:p w14:paraId="64553D36" w14:textId="67373A48" w:rsidR="00DD15B0" w:rsidRPr="00DD15B0" w:rsidRDefault="00DD15B0" w:rsidP="00DD15B0">
            <w:pPr>
              <w:pStyle w:val="Default"/>
              <w:rPr>
                <w:sz w:val="22"/>
                <w:szCs w:val="22"/>
              </w:rPr>
            </w:pPr>
            <w:r w:rsidRPr="008A175E">
              <w:t xml:space="preserve">Education and outreach can be a component of the project, but the program is intended to plan, design, and construct projects and must have an on the ground deliverable. Providing workshops and field days </w:t>
            </w:r>
            <w:r w:rsidR="007A343F" w:rsidRPr="008A175E">
              <w:t>on water quality improvement or river habitat are</w:t>
            </w:r>
            <w:r w:rsidRPr="008A175E">
              <w:t xml:space="preserve"> an eligible expense. </w:t>
            </w:r>
            <w:r w:rsidR="00484935" w:rsidRPr="008A175E">
              <w:t>Educational materials such as signs, pamphlets, or kiosk may be eligible</w:t>
            </w:r>
            <w:r w:rsidR="000F5C04" w:rsidRPr="008A175E">
              <w:t>,</w:t>
            </w:r>
            <w:r w:rsidR="00484935" w:rsidRPr="008A175E">
              <w:t xml:space="preserve"> depending on content. All education and outreach activities must be approved by NMED prior to implementation. </w:t>
            </w:r>
          </w:p>
        </w:tc>
      </w:tr>
      <w:tr w:rsidR="0035658D" w14:paraId="62714F9D" w14:textId="77777777" w:rsidTr="006862C2">
        <w:tc>
          <w:tcPr>
            <w:tcW w:w="558" w:type="dxa"/>
          </w:tcPr>
          <w:p w14:paraId="559B2516" w14:textId="1AFC3CCD" w:rsidR="0035658D" w:rsidRPr="00CD659B" w:rsidRDefault="0035658D">
            <w:pPr>
              <w:rPr>
                <w:b/>
              </w:rPr>
            </w:pPr>
            <w:r w:rsidRPr="00CD659B">
              <w:rPr>
                <w:b/>
              </w:rPr>
              <w:t>1</w:t>
            </w:r>
            <w:r w:rsidR="004B6CDC">
              <w:rPr>
                <w:b/>
              </w:rPr>
              <w:t>2</w:t>
            </w:r>
            <w:r w:rsidRPr="00CD659B">
              <w:rPr>
                <w:b/>
              </w:rPr>
              <w:t>.</w:t>
            </w:r>
          </w:p>
        </w:tc>
        <w:tc>
          <w:tcPr>
            <w:tcW w:w="1890" w:type="dxa"/>
          </w:tcPr>
          <w:p w14:paraId="3BEA8FB7" w14:textId="66F8C6C5" w:rsidR="0035658D" w:rsidRDefault="0035658D" w:rsidP="00CA6CDA">
            <w:r>
              <w:t>Will letters of support be required for submission of a project?</w:t>
            </w:r>
          </w:p>
        </w:tc>
        <w:tc>
          <w:tcPr>
            <w:tcW w:w="7128" w:type="dxa"/>
          </w:tcPr>
          <w:p w14:paraId="728E9183" w14:textId="63F6C5B1" w:rsidR="0035658D" w:rsidRPr="008A175E" w:rsidRDefault="006630E1">
            <w:r w:rsidRPr="008A175E">
              <w:t>Yes, l</w:t>
            </w:r>
            <w:r w:rsidR="0035658D" w:rsidRPr="008A175E">
              <w:t>etters of support</w:t>
            </w:r>
            <w:r w:rsidRPr="008A175E">
              <w:t xml:space="preserve"> must</w:t>
            </w:r>
            <w:r w:rsidR="007A6175" w:rsidRPr="008A175E">
              <w:t xml:space="preserve"> be </w:t>
            </w:r>
            <w:r w:rsidRPr="008A175E">
              <w:t>included</w:t>
            </w:r>
            <w:r w:rsidR="007A6175" w:rsidRPr="008A175E">
              <w:t xml:space="preserve"> by the landowner where the project will occur</w:t>
            </w:r>
            <w:r w:rsidRPr="008A175E">
              <w:t xml:space="preserve">. Letters of support from </w:t>
            </w:r>
            <w:proofErr w:type="gramStart"/>
            <w:r w:rsidR="007A6175" w:rsidRPr="008A175E">
              <w:t>stakeholder</w:t>
            </w:r>
            <w:proofErr w:type="gramEnd"/>
            <w:r w:rsidR="007A6175" w:rsidRPr="008A175E">
              <w:t xml:space="preserve"> who will have a role in completing the project</w:t>
            </w:r>
            <w:r w:rsidRPr="008A175E">
              <w:t xml:space="preserve"> should also be </w:t>
            </w:r>
            <w:r w:rsidR="008A175E" w:rsidRPr="008A175E">
              <w:t>considered</w:t>
            </w:r>
            <w:r w:rsidR="007A6175" w:rsidRPr="008A175E">
              <w:t>. L</w:t>
            </w:r>
            <w:r w:rsidR="0035658D" w:rsidRPr="008A175E">
              <w:t>etters of support from local governments documenting the community need</w:t>
            </w:r>
            <w:r w:rsidR="007A6175" w:rsidRPr="008A175E">
              <w:t xml:space="preserve"> </w:t>
            </w:r>
            <w:r w:rsidR="0035658D" w:rsidRPr="008A175E">
              <w:t>and support of the project and other partners help document cooperator support related to proposal evaluation criteria</w:t>
            </w:r>
            <w:r w:rsidR="007A6175" w:rsidRPr="008A175E">
              <w:t xml:space="preserve"> and are recommended</w:t>
            </w:r>
            <w:r w:rsidR="0035658D" w:rsidRPr="008A175E">
              <w:t>.</w:t>
            </w:r>
            <w:r w:rsidR="00CD659B" w:rsidRPr="008A175E">
              <w:t xml:space="preserve"> A </w:t>
            </w:r>
            <w:r w:rsidR="00CD659B" w:rsidRPr="008A175E">
              <w:lastRenderedPageBreak/>
              <w:t>proposal that does not demonstrate landowner</w:t>
            </w:r>
            <w:r w:rsidR="003B5099" w:rsidRPr="008A175E">
              <w:t xml:space="preserve"> and/or </w:t>
            </w:r>
            <w:r w:rsidR="00CD659B" w:rsidRPr="008A175E">
              <w:t xml:space="preserve">land manager support is not likely to be funded. </w:t>
            </w:r>
          </w:p>
        </w:tc>
      </w:tr>
      <w:tr w:rsidR="0035658D" w14:paraId="3EA51F07" w14:textId="77777777" w:rsidTr="006862C2">
        <w:tc>
          <w:tcPr>
            <w:tcW w:w="558" w:type="dxa"/>
          </w:tcPr>
          <w:p w14:paraId="300831FF" w14:textId="18587524" w:rsidR="0035658D" w:rsidRPr="00CD659B" w:rsidRDefault="0035658D">
            <w:pPr>
              <w:rPr>
                <w:b/>
              </w:rPr>
            </w:pPr>
            <w:r w:rsidRPr="00CD659B">
              <w:rPr>
                <w:b/>
              </w:rPr>
              <w:lastRenderedPageBreak/>
              <w:t>1</w:t>
            </w:r>
            <w:r w:rsidR="004B6CDC">
              <w:rPr>
                <w:b/>
              </w:rPr>
              <w:t>3</w:t>
            </w:r>
            <w:r w:rsidRPr="00CD659B">
              <w:rPr>
                <w:b/>
              </w:rPr>
              <w:t>.</w:t>
            </w:r>
          </w:p>
        </w:tc>
        <w:tc>
          <w:tcPr>
            <w:tcW w:w="1890" w:type="dxa"/>
          </w:tcPr>
          <w:p w14:paraId="4572D60F" w14:textId="6E64AECA" w:rsidR="0035658D" w:rsidRDefault="0035658D" w:rsidP="00CA6CDA">
            <w:r>
              <w:t xml:space="preserve">How will the funding be distributed once the projects are selected? </w:t>
            </w:r>
          </w:p>
        </w:tc>
        <w:tc>
          <w:tcPr>
            <w:tcW w:w="7128" w:type="dxa"/>
          </w:tcPr>
          <w:p w14:paraId="775979DE" w14:textId="1248F7A8" w:rsidR="0035658D" w:rsidRDefault="0035658D">
            <w:r>
              <w:t xml:space="preserve">NMED will establish </w:t>
            </w:r>
            <w:r w:rsidR="00B67071">
              <w:t>reimbursable</w:t>
            </w:r>
            <w:r>
              <w:t xml:space="preserve"> contracts or government agreements. The New Mexico state procurement rules require that NMED operate on a </w:t>
            </w:r>
            <w:r w:rsidR="00B67071">
              <w:t>reimbursable</w:t>
            </w:r>
            <w:r>
              <w:t xml:space="preserve"> basis with submittal of invoices and documentation of valid expenditures. </w:t>
            </w:r>
          </w:p>
        </w:tc>
      </w:tr>
      <w:tr w:rsidR="0035658D" w14:paraId="161E61C8" w14:textId="77777777" w:rsidTr="006862C2">
        <w:tc>
          <w:tcPr>
            <w:tcW w:w="558" w:type="dxa"/>
          </w:tcPr>
          <w:p w14:paraId="5FA4203D" w14:textId="59E28E2F" w:rsidR="0035658D" w:rsidRPr="00CD659B" w:rsidRDefault="0035658D">
            <w:pPr>
              <w:rPr>
                <w:b/>
              </w:rPr>
            </w:pPr>
            <w:r w:rsidRPr="00CD659B">
              <w:rPr>
                <w:b/>
              </w:rPr>
              <w:t>1</w:t>
            </w:r>
            <w:r w:rsidR="004B6CDC">
              <w:rPr>
                <w:b/>
              </w:rPr>
              <w:t>4</w:t>
            </w:r>
            <w:r w:rsidRPr="00CD659B">
              <w:rPr>
                <w:b/>
              </w:rPr>
              <w:t>.</w:t>
            </w:r>
          </w:p>
        </w:tc>
        <w:tc>
          <w:tcPr>
            <w:tcW w:w="1890" w:type="dxa"/>
          </w:tcPr>
          <w:p w14:paraId="3675B60D" w14:textId="5E3E6B06" w:rsidR="0035658D" w:rsidRDefault="0035658D">
            <w:r>
              <w:t xml:space="preserve">Is there a match requirement that a Contractor must contribute </w:t>
            </w:r>
            <w:proofErr w:type="gramStart"/>
            <w:r>
              <w:t>in order to</w:t>
            </w:r>
            <w:proofErr w:type="gramEnd"/>
            <w:r>
              <w:t xml:space="preserve"> receive River Stewardship Program funds?</w:t>
            </w:r>
          </w:p>
        </w:tc>
        <w:tc>
          <w:tcPr>
            <w:tcW w:w="7128" w:type="dxa"/>
          </w:tcPr>
          <w:p w14:paraId="5CD5EE28" w14:textId="38CAA1E4" w:rsidR="0035658D" w:rsidRDefault="0035658D" w:rsidP="00CA6CDA">
            <w:r>
              <w:t>No, there is no</w:t>
            </w:r>
            <w:r w:rsidR="004177E1">
              <w:t xml:space="preserve"> match</w:t>
            </w:r>
            <w:r>
              <w:t xml:space="preserve"> requirement for </w:t>
            </w:r>
            <w:r w:rsidR="003B5099">
              <w:t xml:space="preserve">supplying, </w:t>
            </w:r>
            <w:r>
              <w:t>identifying and tracking matching funds. However, we encourage proposals that provide some level of outside funds to allow for: ongoing maintenance or adaptive management; education and outreach; and longer</w:t>
            </w:r>
            <w:r w:rsidR="009D6B7E">
              <w:t>-</w:t>
            </w:r>
            <w:r>
              <w:t xml:space="preserve">term monitoring – which are </w:t>
            </w:r>
            <w:r w:rsidR="009D6B7E">
              <w:t xml:space="preserve">typically </w:t>
            </w:r>
            <w:r>
              <w:t>not allowable expenses for reimbursement under this funding source.</w:t>
            </w:r>
          </w:p>
        </w:tc>
      </w:tr>
      <w:tr w:rsidR="0035658D" w14:paraId="78B467E6" w14:textId="77777777" w:rsidTr="006862C2">
        <w:tc>
          <w:tcPr>
            <w:tcW w:w="558" w:type="dxa"/>
          </w:tcPr>
          <w:p w14:paraId="2699E2B1" w14:textId="2EF8DDA9" w:rsidR="0035658D" w:rsidRPr="00CD659B" w:rsidRDefault="0035658D">
            <w:pPr>
              <w:rPr>
                <w:b/>
              </w:rPr>
            </w:pPr>
            <w:r w:rsidRPr="00CD659B">
              <w:rPr>
                <w:b/>
              </w:rPr>
              <w:t>1</w:t>
            </w:r>
            <w:r w:rsidR="004B6CDC">
              <w:rPr>
                <w:b/>
              </w:rPr>
              <w:t>5</w:t>
            </w:r>
            <w:r w:rsidRPr="00CD659B">
              <w:rPr>
                <w:b/>
              </w:rPr>
              <w:t>.</w:t>
            </w:r>
          </w:p>
        </w:tc>
        <w:tc>
          <w:tcPr>
            <w:tcW w:w="1890" w:type="dxa"/>
          </w:tcPr>
          <w:p w14:paraId="789A5A24" w14:textId="1C0C0D88" w:rsidR="0035658D" w:rsidRDefault="0035658D">
            <w:r>
              <w:t>Can a Contractor that receives River Stewardship Program funding use the funding as match to leverage other grants?</w:t>
            </w:r>
          </w:p>
        </w:tc>
        <w:tc>
          <w:tcPr>
            <w:tcW w:w="7128" w:type="dxa"/>
          </w:tcPr>
          <w:p w14:paraId="54811FF9" w14:textId="6ADF37F5" w:rsidR="00D372C6" w:rsidRDefault="007A343F" w:rsidP="00157C3C">
            <w:proofErr w:type="gramStart"/>
            <w:r w:rsidRPr="00D372C6">
              <w:t>Typically</w:t>
            </w:r>
            <w:proofErr w:type="gramEnd"/>
            <w:r w:rsidR="00D372C6" w:rsidRPr="00D372C6">
              <w:t xml:space="preserve"> no, NMED intends to use the River Stewardship Program funding to match EPA Clean Water Act grants that are awarded to the State of New Mexico. However, it is possible that </w:t>
            </w:r>
            <w:r w:rsidR="009038CB">
              <w:t>River Stewardship Program projects</w:t>
            </w:r>
            <w:r w:rsidR="00D372C6" w:rsidRPr="00D372C6">
              <w:t xml:space="preserve"> could be used non-federal match for certain federal grants. Offerors must disclose their intent to use River Stewardship Funding as non-federal match in the proposal if that is a consideration for the project</w:t>
            </w:r>
            <w:r w:rsidR="009038CB">
              <w:t xml:space="preserve"> and the use of River Stewardship funds as non-federal match must </w:t>
            </w:r>
            <w:proofErr w:type="spellStart"/>
            <w:r w:rsidR="009038CB">
              <w:t>by</w:t>
            </w:r>
            <w:proofErr w:type="spellEnd"/>
            <w:r w:rsidR="009038CB">
              <w:t xml:space="preserve"> approved by NMED</w:t>
            </w:r>
            <w:r w:rsidR="00D372C6">
              <w:t>.</w:t>
            </w:r>
          </w:p>
        </w:tc>
      </w:tr>
      <w:tr w:rsidR="0035658D" w14:paraId="55DE8B2D" w14:textId="77777777" w:rsidTr="006862C2">
        <w:tc>
          <w:tcPr>
            <w:tcW w:w="558" w:type="dxa"/>
          </w:tcPr>
          <w:p w14:paraId="3C02D798" w14:textId="216D3644" w:rsidR="0035658D" w:rsidRPr="00CD659B" w:rsidRDefault="0035658D">
            <w:pPr>
              <w:rPr>
                <w:b/>
              </w:rPr>
            </w:pPr>
            <w:r w:rsidRPr="00CD659B">
              <w:rPr>
                <w:b/>
              </w:rPr>
              <w:t>1</w:t>
            </w:r>
            <w:r w:rsidR="004B6CDC">
              <w:rPr>
                <w:b/>
              </w:rPr>
              <w:t>6</w:t>
            </w:r>
            <w:r w:rsidRPr="00CD659B">
              <w:rPr>
                <w:b/>
              </w:rPr>
              <w:t>.</w:t>
            </w:r>
          </w:p>
        </w:tc>
        <w:tc>
          <w:tcPr>
            <w:tcW w:w="1890" w:type="dxa"/>
          </w:tcPr>
          <w:p w14:paraId="5415B16B" w14:textId="4A6E8DA4" w:rsidR="0035658D" w:rsidRDefault="008A175E">
            <w:r>
              <w:t xml:space="preserve">How long is </w:t>
            </w:r>
            <w:proofErr w:type="gramStart"/>
            <w:r>
              <w:t>a contract</w:t>
            </w:r>
            <w:proofErr w:type="gramEnd"/>
            <w:r>
              <w:t xml:space="preserve"> term</w:t>
            </w:r>
            <w:r w:rsidR="0035658D">
              <w:t xml:space="preserve">? </w:t>
            </w:r>
          </w:p>
        </w:tc>
        <w:tc>
          <w:tcPr>
            <w:tcW w:w="7128" w:type="dxa"/>
          </w:tcPr>
          <w:p w14:paraId="5F442F7C" w14:textId="13CF9A21" w:rsidR="0035658D" w:rsidRDefault="004177E1" w:rsidP="00CA6CDA">
            <w:r w:rsidRPr="008A175E">
              <w:t xml:space="preserve">Contract terms are based on funding </w:t>
            </w:r>
            <w:r w:rsidR="008A175E" w:rsidRPr="008A175E">
              <w:t>availability</w:t>
            </w:r>
            <w:r w:rsidRPr="008A175E">
              <w:t xml:space="preserve"> and will be stated in the RFP (usually 2-3 years).</w:t>
            </w:r>
            <w:r>
              <w:t xml:space="preserve"> </w:t>
            </w:r>
          </w:p>
        </w:tc>
      </w:tr>
      <w:tr w:rsidR="00CD659B" w14:paraId="6D06FFC6" w14:textId="77777777" w:rsidTr="006862C2">
        <w:tc>
          <w:tcPr>
            <w:tcW w:w="558" w:type="dxa"/>
          </w:tcPr>
          <w:p w14:paraId="558E2319" w14:textId="03891CFD" w:rsidR="00CD659B" w:rsidRPr="00CD659B" w:rsidRDefault="00CD659B">
            <w:pPr>
              <w:rPr>
                <w:b/>
              </w:rPr>
            </w:pPr>
            <w:r w:rsidRPr="00CD659B">
              <w:rPr>
                <w:b/>
              </w:rPr>
              <w:t>1</w:t>
            </w:r>
            <w:r w:rsidR="004B6CDC">
              <w:rPr>
                <w:b/>
              </w:rPr>
              <w:t>7</w:t>
            </w:r>
            <w:r w:rsidRPr="00CD659B">
              <w:rPr>
                <w:b/>
              </w:rPr>
              <w:t>.</w:t>
            </w:r>
          </w:p>
        </w:tc>
        <w:tc>
          <w:tcPr>
            <w:tcW w:w="1890" w:type="dxa"/>
          </w:tcPr>
          <w:p w14:paraId="48E5698C" w14:textId="5B525589" w:rsidR="00CD659B" w:rsidRDefault="00CD659B">
            <w:r>
              <w:t xml:space="preserve">Can River Stewardship funds be used to pay for planning? </w:t>
            </w:r>
          </w:p>
        </w:tc>
        <w:tc>
          <w:tcPr>
            <w:tcW w:w="7128" w:type="dxa"/>
          </w:tcPr>
          <w:p w14:paraId="7A860AA8" w14:textId="77777777" w:rsidR="00CD659B" w:rsidRDefault="00DD15B0">
            <w:r>
              <w:t>Currently, f</w:t>
            </w:r>
            <w:r w:rsidR="00CD659B">
              <w:t>unds can be used to pay for planning within the context of completing an on-the-ground restoration project but not for planning as the exclusive end</w:t>
            </w:r>
            <w:r w:rsidR="009D6B7E">
              <w:t>-</w:t>
            </w:r>
            <w:r w:rsidR="00CD659B">
              <w:t>product (such as developing a watershed plan).</w:t>
            </w:r>
          </w:p>
          <w:p w14:paraId="3F08DC27" w14:textId="77777777" w:rsidR="00DD15B0" w:rsidRDefault="00DD15B0"/>
          <w:p w14:paraId="240EF62E" w14:textId="297F8EBB" w:rsidR="00DD15B0" w:rsidRDefault="00DD15B0">
            <w:r>
              <w:t>NMED is working on other opportunities to assist in completing planning documents (</w:t>
            </w:r>
            <w:r w:rsidR="004177E1">
              <w:t xml:space="preserve">NMED’s </w:t>
            </w:r>
            <w:r w:rsidR="007A343F">
              <w:t xml:space="preserve">319- EPA watershed-based plans or </w:t>
            </w:r>
            <w:r>
              <w:t>Watershed Protection Assistance Program).</w:t>
            </w:r>
          </w:p>
        </w:tc>
      </w:tr>
      <w:tr w:rsidR="00CD659B" w14:paraId="1E7C4B1E" w14:textId="77777777" w:rsidTr="006862C2">
        <w:tc>
          <w:tcPr>
            <w:tcW w:w="558" w:type="dxa"/>
          </w:tcPr>
          <w:p w14:paraId="408F508E" w14:textId="6367B4E9" w:rsidR="00CD659B" w:rsidRPr="00CD659B" w:rsidRDefault="00CD659B">
            <w:pPr>
              <w:rPr>
                <w:b/>
              </w:rPr>
            </w:pPr>
            <w:r w:rsidRPr="00CD659B">
              <w:rPr>
                <w:b/>
              </w:rPr>
              <w:t>1</w:t>
            </w:r>
            <w:r w:rsidR="004B6CDC">
              <w:rPr>
                <w:b/>
              </w:rPr>
              <w:t>8</w:t>
            </w:r>
            <w:r w:rsidRPr="00CD659B">
              <w:rPr>
                <w:b/>
              </w:rPr>
              <w:t>.</w:t>
            </w:r>
          </w:p>
        </w:tc>
        <w:tc>
          <w:tcPr>
            <w:tcW w:w="1890" w:type="dxa"/>
          </w:tcPr>
          <w:p w14:paraId="55123A91" w14:textId="2ED40697" w:rsidR="00CD659B" w:rsidRDefault="00CD659B">
            <w:r>
              <w:t xml:space="preserve">Who should we consult with while developing a project? </w:t>
            </w:r>
          </w:p>
        </w:tc>
        <w:tc>
          <w:tcPr>
            <w:tcW w:w="7128" w:type="dxa"/>
          </w:tcPr>
          <w:p w14:paraId="375DA47E" w14:textId="665832D9" w:rsidR="00CD659B" w:rsidRDefault="00CD659B" w:rsidP="008D6DA3">
            <w:r>
              <w:t xml:space="preserve">You should consult with local governments, land managers and property owners, permitting agencies and other stakeholders while planning a project. It is crucial to the success of your proposal that you demonstrate the support and commitment of the community and applicable stakeholders – especially any organization, agency or person that will be providing site access, </w:t>
            </w:r>
            <w:r w:rsidR="009038CB">
              <w:t xml:space="preserve">permitting, </w:t>
            </w:r>
            <w:r>
              <w:t xml:space="preserve">personnel time or resources to the project. </w:t>
            </w:r>
          </w:p>
        </w:tc>
      </w:tr>
      <w:tr w:rsidR="00CD659B" w14:paraId="7446FEBB" w14:textId="77777777" w:rsidTr="006862C2">
        <w:tc>
          <w:tcPr>
            <w:tcW w:w="558" w:type="dxa"/>
          </w:tcPr>
          <w:p w14:paraId="215A9378" w14:textId="7FD8758E" w:rsidR="00CD659B" w:rsidRPr="00CD659B" w:rsidRDefault="00CD659B">
            <w:pPr>
              <w:rPr>
                <w:b/>
              </w:rPr>
            </w:pPr>
            <w:r w:rsidRPr="00CD659B">
              <w:rPr>
                <w:b/>
              </w:rPr>
              <w:t>1</w:t>
            </w:r>
            <w:r w:rsidR="004B6CDC">
              <w:rPr>
                <w:b/>
              </w:rPr>
              <w:t>9</w:t>
            </w:r>
            <w:r w:rsidRPr="00CD659B">
              <w:rPr>
                <w:b/>
              </w:rPr>
              <w:t>.</w:t>
            </w:r>
          </w:p>
        </w:tc>
        <w:tc>
          <w:tcPr>
            <w:tcW w:w="1890" w:type="dxa"/>
          </w:tcPr>
          <w:p w14:paraId="2AD826B5" w14:textId="1869F614" w:rsidR="00CD659B" w:rsidRDefault="00CD659B" w:rsidP="00D47654">
            <w:r>
              <w:t>Who do I contact with questions about the RFP?</w:t>
            </w:r>
          </w:p>
        </w:tc>
        <w:tc>
          <w:tcPr>
            <w:tcW w:w="7128" w:type="dxa"/>
          </w:tcPr>
          <w:p w14:paraId="77DBFC8E" w14:textId="1E65C5A8" w:rsidR="00CD659B" w:rsidRDefault="00CD659B" w:rsidP="006971CF">
            <w:r>
              <w:t xml:space="preserve">For questions about the River Stewardship Program before the RFP is released, please contact </w:t>
            </w:r>
            <w:r w:rsidR="00DD15B0">
              <w:t>Samantha Ferguson</w:t>
            </w:r>
            <w:r>
              <w:t xml:space="preserve"> (505) </w:t>
            </w:r>
            <w:r w:rsidR="00DD15B0">
              <w:t>479-0481</w:t>
            </w:r>
            <w:r w:rsidR="009038CB">
              <w:t xml:space="preserve"> (</w:t>
            </w:r>
            <w:hyperlink r:id="rId9" w:history="1">
              <w:r w:rsidR="00DD15B0" w:rsidRPr="00CE4767">
                <w:rPr>
                  <w:rStyle w:val="Hyperlink"/>
                </w:rPr>
                <w:t>samantha.ferguson@env.nm.gov</w:t>
              </w:r>
            </w:hyperlink>
            <w:r w:rsidR="009038CB">
              <w:t>).</w:t>
            </w:r>
          </w:p>
          <w:p w14:paraId="4D74C733" w14:textId="77777777" w:rsidR="00CD659B" w:rsidRDefault="00CD659B" w:rsidP="006971CF"/>
          <w:p w14:paraId="4151A580" w14:textId="1F13D005" w:rsidR="00CD659B" w:rsidRDefault="00CD659B" w:rsidP="009B112B">
            <w:r>
              <w:t>During the RFP period, a</w:t>
            </w:r>
            <w:r w:rsidRPr="000D506A">
              <w:t xml:space="preserve">ny inquiries </w:t>
            </w:r>
            <w:r>
              <w:t xml:space="preserve">to the State of New Mexico </w:t>
            </w:r>
            <w:r w:rsidRPr="000D506A">
              <w:t xml:space="preserve">should </w:t>
            </w:r>
            <w:r>
              <w:t>be submitted, in writing, to the</w:t>
            </w:r>
            <w:r w:rsidRPr="000D506A">
              <w:t xml:space="preserve"> Procurement Manager </w:t>
            </w:r>
            <w:r>
              <w:t xml:space="preserve">identified </w:t>
            </w:r>
            <w:r>
              <w:lastRenderedPageBreak/>
              <w:t>in the RFP</w:t>
            </w:r>
            <w:r w:rsidR="008E1702">
              <w:t xml:space="preserve"> </w:t>
            </w:r>
            <w:r w:rsidRPr="000D506A">
              <w:t>via email. Offerors may contact ONLY the Pr</w:t>
            </w:r>
            <w:r>
              <w:t>ocurement Manager regarding the RFP</w:t>
            </w:r>
            <w:r w:rsidRPr="000D506A">
              <w:t>. Other state employees or</w:t>
            </w:r>
            <w:r>
              <w:t xml:space="preserve"> Evaluation Committee members will</w:t>
            </w:r>
            <w:r w:rsidRPr="000D506A">
              <w:t xml:space="preserve"> not have the authority to respond on behalf of the State</w:t>
            </w:r>
            <w:r>
              <w:t>.</w:t>
            </w:r>
          </w:p>
        </w:tc>
      </w:tr>
      <w:tr w:rsidR="00CD659B" w14:paraId="7834724A" w14:textId="77777777" w:rsidTr="006862C2">
        <w:tc>
          <w:tcPr>
            <w:tcW w:w="558" w:type="dxa"/>
          </w:tcPr>
          <w:p w14:paraId="62A746F7" w14:textId="244A0AD5" w:rsidR="00CD659B" w:rsidRPr="00CD659B" w:rsidRDefault="004B6CDC">
            <w:pPr>
              <w:rPr>
                <w:b/>
              </w:rPr>
            </w:pPr>
            <w:r>
              <w:rPr>
                <w:b/>
              </w:rPr>
              <w:lastRenderedPageBreak/>
              <w:t>20</w:t>
            </w:r>
            <w:r w:rsidR="00CD659B" w:rsidRPr="00CD659B">
              <w:rPr>
                <w:b/>
              </w:rPr>
              <w:t>.</w:t>
            </w:r>
          </w:p>
        </w:tc>
        <w:tc>
          <w:tcPr>
            <w:tcW w:w="1890" w:type="dxa"/>
          </w:tcPr>
          <w:p w14:paraId="465A554F" w14:textId="627C35F5" w:rsidR="006862C2" w:rsidRDefault="00CD659B" w:rsidP="00D47654">
            <w:r>
              <w:t>Will NMED consider proposals that address stream reaches that are currently attaining water quality standards for their designated uses?</w:t>
            </w:r>
          </w:p>
        </w:tc>
        <w:tc>
          <w:tcPr>
            <w:tcW w:w="7128" w:type="dxa"/>
          </w:tcPr>
          <w:p w14:paraId="1287A0E7" w14:textId="671782A0" w:rsidR="00CD659B" w:rsidRDefault="00CD659B" w:rsidP="008121C1">
            <w:r>
              <w:t xml:space="preserve">Yes. The River Stewardship Program is not limited to impaired reaches. </w:t>
            </w:r>
          </w:p>
        </w:tc>
      </w:tr>
      <w:tr w:rsidR="00CD659B" w14:paraId="036E9D96" w14:textId="77777777" w:rsidTr="006862C2">
        <w:tc>
          <w:tcPr>
            <w:tcW w:w="558" w:type="dxa"/>
          </w:tcPr>
          <w:p w14:paraId="0F117FD1" w14:textId="38B3D3B6" w:rsidR="00CD659B" w:rsidRPr="00CD659B" w:rsidRDefault="00CD659B">
            <w:pPr>
              <w:rPr>
                <w:b/>
              </w:rPr>
            </w:pPr>
            <w:r w:rsidRPr="00CD659B">
              <w:rPr>
                <w:b/>
              </w:rPr>
              <w:t>2</w:t>
            </w:r>
            <w:r w:rsidR="004B6CDC">
              <w:rPr>
                <w:b/>
              </w:rPr>
              <w:t>1</w:t>
            </w:r>
            <w:r w:rsidRPr="00CD659B">
              <w:rPr>
                <w:b/>
              </w:rPr>
              <w:t>.</w:t>
            </w:r>
          </w:p>
        </w:tc>
        <w:tc>
          <w:tcPr>
            <w:tcW w:w="1890" w:type="dxa"/>
          </w:tcPr>
          <w:p w14:paraId="2D611CDD" w14:textId="068C81B1" w:rsidR="00CD659B" w:rsidRDefault="00CD659B" w:rsidP="00D47654">
            <w:r w:rsidRPr="00543728">
              <w:t>Does my project have to be in an area with an EPA-approved watershed</w:t>
            </w:r>
            <w:r>
              <w:t>-</w:t>
            </w:r>
            <w:r w:rsidRPr="00543728">
              <w:t xml:space="preserve">based plan? </w:t>
            </w:r>
            <w:r w:rsidRPr="00543728">
              <w:tab/>
            </w:r>
          </w:p>
        </w:tc>
        <w:tc>
          <w:tcPr>
            <w:tcW w:w="7128" w:type="dxa"/>
          </w:tcPr>
          <w:p w14:paraId="14CE5F22" w14:textId="77777777" w:rsidR="00CD659B" w:rsidRDefault="00CD659B" w:rsidP="000575F3">
            <w:r w:rsidRPr="00543728">
              <w:t xml:space="preserve">No. The </w:t>
            </w:r>
            <w:r>
              <w:t>RFP</w:t>
            </w:r>
            <w:r w:rsidRPr="00543728">
              <w:t xml:space="preserve"> will ask for a reference to </w:t>
            </w:r>
            <w:r>
              <w:t xml:space="preserve">a </w:t>
            </w:r>
            <w:r w:rsidRPr="00543728">
              <w:t xml:space="preserve">planning document </w:t>
            </w:r>
            <w:proofErr w:type="gramStart"/>
            <w:r w:rsidRPr="00543728">
              <w:t>in order to</w:t>
            </w:r>
            <w:proofErr w:type="gramEnd"/>
            <w:r w:rsidRPr="00543728">
              <w:t xml:space="preserve"> justify need and support for the project, but </w:t>
            </w:r>
            <w:r>
              <w:t xml:space="preserve">the </w:t>
            </w:r>
            <w:r w:rsidRPr="00543728">
              <w:t>planning document does not have to be an EPA watershed-based plan. Natural resource planning documents developed by local, state, federal and tribal agencies are examples of other types of valid planning</w:t>
            </w:r>
            <w:r>
              <w:t xml:space="preserve"> documents</w:t>
            </w:r>
            <w:r w:rsidRPr="00543728">
              <w:t>.</w:t>
            </w:r>
          </w:p>
          <w:p w14:paraId="2683DD1D" w14:textId="77777777" w:rsidR="00DD15B0" w:rsidRDefault="00DD15B0" w:rsidP="000575F3"/>
          <w:p w14:paraId="019D1D03" w14:textId="44E304E6" w:rsidR="00DD15B0" w:rsidRDefault="00DD15B0" w:rsidP="000575F3">
            <w:r>
              <w:t xml:space="preserve">In the future, proposals may receive additional points if the project is within an EPA watershed-based plan. This will be identified in the RFP. </w:t>
            </w:r>
          </w:p>
        </w:tc>
      </w:tr>
    </w:tbl>
    <w:p w14:paraId="062015D7" w14:textId="77777777" w:rsidR="004347F1" w:rsidRDefault="004347F1"/>
    <w:sectPr w:rsidR="004347F1" w:rsidSect="00BF22C3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460EE8" w14:textId="77777777" w:rsidR="005F2B44" w:rsidRDefault="005F2B44" w:rsidP="00DF7520">
      <w:r>
        <w:separator/>
      </w:r>
    </w:p>
  </w:endnote>
  <w:endnote w:type="continuationSeparator" w:id="0">
    <w:p w14:paraId="64DEA0D3" w14:textId="77777777" w:rsidR="005F2B44" w:rsidRDefault="005F2B44" w:rsidP="00DF7520">
      <w:r>
        <w:continuationSeparator/>
      </w:r>
    </w:p>
  </w:endnote>
  <w:endnote w:type="continuationNotice" w:id="1">
    <w:p w14:paraId="05AC2CCD" w14:textId="77777777" w:rsidR="005F2B44" w:rsidRDefault="005F2B4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396267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1C49422" w14:textId="77777777" w:rsidR="000A44EC" w:rsidRDefault="000A44E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42971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1D73E27A" w14:textId="77777777" w:rsidR="00DF7520" w:rsidRDefault="00DF75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6A6689" w14:textId="77777777" w:rsidR="005F2B44" w:rsidRDefault="005F2B44" w:rsidP="00DF7520">
      <w:r>
        <w:separator/>
      </w:r>
    </w:p>
  </w:footnote>
  <w:footnote w:type="continuationSeparator" w:id="0">
    <w:p w14:paraId="00FF505B" w14:textId="77777777" w:rsidR="005F2B44" w:rsidRDefault="005F2B44" w:rsidP="00DF7520">
      <w:r>
        <w:continuationSeparator/>
      </w:r>
    </w:p>
  </w:footnote>
  <w:footnote w:type="continuationNotice" w:id="1">
    <w:p w14:paraId="54AB940B" w14:textId="77777777" w:rsidR="005F2B44" w:rsidRDefault="005F2B4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F280BF" w14:textId="3D469CBF" w:rsidR="00DF7520" w:rsidRDefault="00DF75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323DB"/>
    <w:multiLevelType w:val="hybridMultilevel"/>
    <w:tmpl w:val="9438C4F2"/>
    <w:lvl w:ilvl="0" w:tplc="FC6E8D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712F4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484D4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36E43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ADAC5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F3633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AACB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952FE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1BE14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2113A58"/>
    <w:multiLevelType w:val="hybridMultilevel"/>
    <w:tmpl w:val="F5C073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6B67E2"/>
    <w:multiLevelType w:val="hybridMultilevel"/>
    <w:tmpl w:val="D3167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DD3D76"/>
    <w:multiLevelType w:val="hybridMultilevel"/>
    <w:tmpl w:val="15EAFFDC"/>
    <w:lvl w:ilvl="0" w:tplc="4830CB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CA0E8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14A18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5E8A0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9A05E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266B5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E987A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70E76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0782E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566335112">
    <w:abstractNumId w:val="1"/>
  </w:num>
  <w:num w:numId="2" w16cid:durableId="1942450800">
    <w:abstractNumId w:val="3"/>
  </w:num>
  <w:num w:numId="3" w16cid:durableId="1081289897">
    <w:abstractNumId w:val="0"/>
  </w:num>
  <w:num w:numId="4" w16cid:durableId="18626962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7F1"/>
    <w:rsid w:val="00024507"/>
    <w:rsid w:val="00024627"/>
    <w:rsid w:val="00026441"/>
    <w:rsid w:val="000575F3"/>
    <w:rsid w:val="00076EB9"/>
    <w:rsid w:val="00083A0A"/>
    <w:rsid w:val="0009095B"/>
    <w:rsid w:val="000A44EC"/>
    <w:rsid w:val="000B2DE2"/>
    <w:rsid w:val="000B3146"/>
    <w:rsid w:val="000C63A5"/>
    <w:rsid w:val="000D506A"/>
    <w:rsid w:val="000E7A2D"/>
    <w:rsid w:val="000F2B34"/>
    <w:rsid w:val="000F5C04"/>
    <w:rsid w:val="000F760E"/>
    <w:rsid w:val="0011504E"/>
    <w:rsid w:val="00145C1E"/>
    <w:rsid w:val="00157C3C"/>
    <w:rsid w:val="001821A2"/>
    <w:rsid w:val="001857FC"/>
    <w:rsid w:val="0018617F"/>
    <w:rsid w:val="00192F95"/>
    <w:rsid w:val="001A0A4D"/>
    <w:rsid w:val="00263265"/>
    <w:rsid w:val="00264BE7"/>
    <w:rsid w:val="002972B7"/>
    <w:rsid w:val="002A277A"/>
    <w:rsid w:val="002B10FA"/>
    <w:rsid w:val="002D4B6B"/>
    <w:rsid w:val="002E440A"/>
    <w:rsid w:val="00320DDB"/>
    <w:rsid w:val="00345577"/>
    <w:rsid w:val="0035658D"/>
    <w:rsid w:val="003631B9"/>
    <w:rsid w:val="00381573"/>
    <w:rsid w:val="003931F5"/>
    <w:rsid w:val="003A5C0D"/>
    <w:rsid w:val="003B5099"/>
    <w:rsid w:val="003D6521"/>
    <w:rsid w:val="003E610F"/>
    <w:rsid w:val="004177E1"/>
    <w:rsid w:val="004347F1"/>
    <w:rsid w:val="00442976"/>
    <w:rsid w:val="00457ECE"/>
    <w:rsid w:val="004771C4"/>
    <w:rsid w:val="00484935"/>
    <w:rsid w:val="004B1660"/>
    <w:rsid w:val="004B4110"/>
    <w:rsid w:val="004B6CDC"/>
    <w:rsid w:val="004E64C3"/>
    <w:rsid w:val="00543728"/>
    <w:rsid w:val="00550587"/>
    <w:rsid w:val="00560AF9"/>
    <w:rsid w:val="00577C8D"/>
    <w:rsid w:val="00583C51"/>
    <w:rsid w:val="0059482C"/>
    <w:rsid w:val="005F2AFC"/>
    <w:rsid w:val="005F2B44"/>
    <w:rsid w:val="006204B3"/>
    <w:rsid w:val="0064383D"/>
    <w:rsid w:val="00646A84"/>
    <w:rsid w:val="00650D60"/>
    <w:rsid w:val="006515B5"/>
    <w:rsid w:val="006517B1"/>
    <w:rsid w:val="006630E1"/>
    <w:rsid w:val="0067232A"/>
    <w:rsid w:val="00673362"/>
    <w:rsid w:val="006862C2"/>
    <w:rsid w:val="006971CF"/>
    <w:rsid w:val="006A6730"/>
    <w:rsid w:val="006B6F29"/>
    <w:rsid w:val="006D4DF0"/>
    <w:rsid w:val="006E0528"/>
    <w:rsid w:val="0072788F"/>
    <w:rsid w:val="00742971"/>
    <w:rsid w:val="00783538"/>
    <w:rsid w:val="007A343F"/>
    <w:rsid w:val="007A4E78"/>
    <w:rsid w:val="007A6175"/>
    <w:rsid w:val="008121C1"/>
    <w:rsid w:val="00826297"/>
    <w:rsid w:val="00841E35"/>
    <w:rsid w:val="008A175E"/>
    <w:rsid w:val="008D6DA3"/>
    <w:rsid w:val="008E1607"/>
    <w:rsid w:val="008E1702"/>
    <w:rsid w:val="009038CB"/>
    <w:rsid w:val="0091660A"/>
    <w:rsid w:val="00937C59"/>
    <w:rsid w:val="009722D5"/>
    <w:rsid w:val="009841B8"/>
    <w:rsid w:val="009B112B"/>
    <w:rsid w:val="009D232A"/>
    <w:rsid w:val="009D6B7E"/>
    <w:rsid w:val="00A5565D"/>
    <w:rsid w:val="00A60EB5"/>
    <w:rsid w:val="00A80D3B"/>
    <w:rsid w:val="00A827CF"/>
    <w:rsid w:val="00A91DC0"/>
    <w:rsid w:val="00AB003B"/>
    <w:rsid w:val="00B05EEE"/>
    <w:rsid w:val="00B0648B"/>
    <w:rsid w:val="00B10C4C"/>
    <w:rsid w:val="00B67071"/>
    <w:rsid w:val="00B91B7E"/>
    <w:rsid w:val="00BB1141"/>
    <w:rsid w:val="00BC32E5"/>
    <w:rsid w:val="00BE71B0"/>
    <w:rsid w:val="00BF22C3"/>
    <w:rsid w:val="00C111A5"/>
    <w:rsid w:val="00C11DD9"/>
    <w:rsid w:val="00C32206"/>
    <w:rsid w:val="00C934DD"/>
    <w:rsid w:val="00CA077E"/>
    <w:rsid w:val="00CA2028"/>
    <w:rsid w:val="00CA6CDA"/>
    <w:rsid w:val="00CC39CA"/>
    <w:rsid w:val="00CD659B"/>
    <w:rsid w:val="00D372C6"/>
    <w:rsid w:val="00D43067"/>
    <w:rsid w:val="00D47654"/>
    <w:rsid w:val="00D91BA3"/>
    <w:rsid w:val="00DD15B0"/>
    <w:rsid w:val="00DF7520"/>
    <w:rsid w:val="00E03770"/>
    <w:rsid w:val="00E30C77"/>
    <w:rsid w:val="00E35597"/>
    <w:rsid w:val="00E47C68"/>
    <w:rsid w:val="00E56401"/>
    <w:rsid w:val="00E90E3C"/>
    <w:rsid w:val="00E964BC"/>
    <w:rsid w:val="00EE0A2A"/>
    <w:rsid w:val="00EF41D5"/>
    <w:rsid w:val="00F11213"/>
    <w:rsid w:val="00F428DB"/>
    <w:rsid w:val="00F75FE6"/>
    <w:rsid w:val="00F87A80"/>
    <w:rsid w:val="00FD4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4BE2BB"/>
  <w15:docId w15:val="{631A2DC8-53AC-4424-A488-FBDC2695E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440A"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440A"/>
    <w:pPr>
      <w:ind w:left="720"/>
      <w:contextualSpacing/>
    </w:pPr>
    <w:rPr>
      <w:rFonts w:eastAsia="Times New Roman" w:cs="Times New Roman"/>
    </w:rPr>
  </w:style>
  <w:style w:type="table" w:styleId="TableGrid">
    <w:name w:val="Table Grid"/>
    <w:basedOn w:val="TableNormal"/>
    <w:uiPriority w:val="59"/>
    <w:rsid w:val="004347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26441"/>
    <w:pPr>
      <w:autoSpaceDE w:val="0"/>
      <w:autoSpaceDN w:val="0"/>
      <w:adjustRightInd w:val="0"/>
      <w:spacing w:after="0" w:line="240" w:lineRule="auto"/>
    </w:pPr>
    <w:rPr>
      <w:rFonts w:ascii="Times" w:hAnsi="Times" w:cs="Times"/>
      <w:color w:val="000000"/>
      <w:sz w:val="24"/>
      <w:szCs w:val="24"/>
    </w:rPr>
  </w:style>
  <w:style w:type="character" w:customStyle="1" w:styleId="A0">
    <w:name w:val="A0"/>
    <w:uiPriority w:val="99"/>
    <w:rsid w:val="00026441"/>
    <w:rPr>
      <w:rFonts w:cs="Times"/>
      <w:color w:val="221E1F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026441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45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459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F75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F7520"/>
    <w:rPr>
      <w:rFonts w:ascii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F75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7520"/>
    <w:rPr>
      <w:rFonts w:ascii="Times New Roman" w:hAnsi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8121C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121C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121C1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21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21C1"/>
    <w:rPr>
      <w:rFonts w:ascii="Times New Roman" w:hAnsi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37C59"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cf01">
    <w:name w:val="cf01"/>
    <w:basedOn w:val="DefaultParagraphFont"/>
    <w:rsid w:val="00D372C6"/>
    <w:rPr>
      <w:rFonts w:ascii="Segoe UI" w:hAnsi="Segoe UI" w:cs="Segoe UI" w:hint="default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9038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89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789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373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621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5645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7263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0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9768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15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264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1162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8114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4653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5279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284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samantha.ferguson@env.nm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840507-0462-42B3-A72A-1A258C9B31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9E3183C-06A2-449C-9FE6-E1A7ADCE7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4</Pages>
  <Words>1389</Words>
  <Characters>7921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 Mexico Environment Department</Company>
  <LinksUpToDate>false</LinksUpToDate>
  <CharactersWithSpaces>9292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karen.menetrey</dc:creator>
  <cp:keywords/>
  <dc:description/>
  <cp:lastModifiedBy>Ferguson, Samantha, ENV</cp:lastModifiedBy>
  <cp:revision>1</cp:revision>
  <cp:lastPrinted>2025-09-03T18:37:00Z</cp:lastPrinted>
  <dcterms:created xsi:type="dcterms:W3CDTF">2025-09-26T20:31:00Z</dcterms:created>
  <dcterms:modified xsi:type="dcterms:W3CDTF">2025-09-29T17:46:00Z</dcterms:modified>
</cp:coreProperties>
</file>