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7950" w14:textId="1651F41C" w:rsidR="009F765E" w:rsidRDefault="00634FD8" w:rsidP="00B616BF">
      <w:pPr>
        <w:jc w:val="center"/>
        <w:rPr>
          <w:b/>
          <w:sz w:val="32"/>
          <w:szCs w:val="32"/>
        </w:rPr>
      </w:pPr>
      <w:bookmarkStart w:id="0" w:name="_Hlk513186444"/>
      <w:bookmarkStart w:id="1" w:name="_GoBack"/>
      <w:bookmarkEnd w:id="1"/>
      <w:r w:rsidRPr="00634FD8">
        <w:rPr>
          <w:noProof/>
        </w:rPr>
        <w:drawing>
          <wp:inline distT="0" distB="0" distL="0" distR="0" wp14:anchorId="1D945C09" wp14:editId="6B0C6BC4">
            <wp:extent cx="5943600" cy="24365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AE3B" w14:textId="77777777" w:rsidR="009F765E" w:rsidRDefault="009F765E" w:rsidP="000F278E">
      <w:pPr>
        <w:jc w:val="center"/>
        <w:rPr>
          <w:b/>
          <w:sz w:val="32"/>
          <w:szCs w:val="32"/>
        </w:rPr>
      </w:pPr>
    </w:p>
    <w:p w14:paraId="1CE2E1CE" w14:textId="77777777" w:rsidR="009F765E" w:rsidRDefault="009F765E" w:rsidP="000F278E">
      <w:pPr>
        <w:jc w:val="center"/>
        <w:rPr>
          <w:b/>
          <w:sz w:val="32"/>
          <w:szCs w:val="32"/>
        </w:rPr>
      </w:pPr>
    </w:p>
    <w:p w14:paraId="46FD638B" w14:textId="04D6E623" w:rsidR="000F278E" w:rsidRPr="000F278E" w:rsidRDefault="00D22332" w:rsidP="000F27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Pr="000F278E">
        <w:rPr>
          <w:b/>
          <w:sz w:val="32"/>
          <w:szCs w:val="32"/>
        </w:rPr>
        <w:t xml:space="preserve"> </w:t>
      </w:r>
      <w:r w:rsidR="000F278E" w:rsidRPr="000F278E">
        <w:rPr>
          <w:b/>
          <w:sz w:val="32"/>
          <w:szCs w:val="32"/>
        </w:rPr>
        <w:t>Annual Report</w:t>
      </w:r>
    </w:p>
    <w:p w14:paraId="01E09ED2" w14:textId="77777777" w:rsidR="006D4F84" w:rsidRPr="000F278E" w:rsidRDefault="000F278E" w:rsidP="000F278E">
      <w:pPr>
        <w:jc w:val="center"/>
        <w:rPr>
          <w:b/>
          <w:sz w:val="28"/>
          <w:szCs w:val="28"/>
        </w:rPr>
      </w:pPr>
      <w:r w:rsidRPr="000F278E">
        <w:rPr>
          <w:b/>
          <w:sz w:val="32"/>
          <w:szCs w:val="32"/>
        </w:rPr>
        <w:t>SO</w:t>
      </w:r>
      <w:r w:rsidRPr="000F278E">
        <w:rPr>
          <w:b/>
          <w:sz w:val="32"/>
          <w:szCs w:val="32"/>
          <w:vertAlign w:val="subscript"/>
        </w:rPr>
        <w:t>2</w:t>
      </w:r>
      <w:r w:rsidRPr="000F278E">
        <w:rPr>
          <w:b/>
          <w:sz w:val="32"/>
          <w:szCs w:val="32"/>
        </w:rPr>
        <w:t xml:space="preserve"> Emissions for the San Juan Generating Station</w:t>
      </w:r>
    </w:p>
    <w:p w14:paraId="2139912B" w14:textId="77777777" w:rsidR="000F278E" w:rsidRPr="00D3738D" w:rsidRDefault="000F278E" w:rsidP="000F278E">
      <w:pPr>
        <w:jc w:val="center"/>
        <w:rPr>
          <w:b/>
          <w:sz w:val="24"/>
          <w:szCs w:val="24"/>
        </w:rPr>
      </w:pPr>
      <w:r w:rsidRPr="00D3738D">
        <w:rPr>
          <w:b/>
          <w:sz w:val="24"/>
          <w:szCs w:val="24"/>
        </w:rPr>
        <w:t>Ongoing Requirements for the 2015 Data Requirements Rule</w:t>
      </w:r>
    </w:p>
    <w:p w14:paraId="3882DEEA" w14:textId="77777777" w:rsidR="000F278E" w:rsidRDefault="000F278E" w:rsidP="000F278E">
      <w:pPr>
        <w:jc w:val="center"/>
        <w:rPr>
          <w:sz w:val="24"/>
          <w:szCs w:val="24"/>
        </w:rPr>
      </w:pPr>
    </w:p>
    <w:p w14:paraId="0FAE7BA5" w14:textId="77777777" w:rsidR="000F278E" w:rsidRDefault="000F278E" w:rsidP="000F278E">
      <w:pPr>
        <w:jc w:val="center"/>
        <w:rPr>
          <w:sz w:val="24"/>
          <w:szCs w:val="24"/>
        </w:rPr>
      </w:pPr>
      <w:r>
        <w:rPr>
          <w:sz w:val="24"/>
          <w:szCs w:val="24"/>
        </w:rPr>
        <w:t>Prepared by the New Mexico Environment Department</w:t>
      </w:r>
    </w:p>
    <w:p w14:paraId="33CA2B1B" w14:textId="77777777" w:rsidR="000F278E" w:rsidRDefault="000F278E" w:rsidP="000F278E">
      <w:pPr>
        <w:jc w:val="center"/>
        <w:rPr>
          <w:sz w:val="24"/>
          <w:szCs w:val="24"/>
        </w:rPr>
      </w:pPr>
      <w:r>
        <w:rPr>
          <w:sz w:val="24"/>
          <w:szCs w:val="24"/>
        </w:rPr>
        <w:t>Air Quality Bureau</w:t>
      </w:r>
    </w:p>
    <w:p w14:paraId="6DE46D31" w14:textId="77777777" w:rsidR="000F278E" w:rsidRDefault="000F278E" w:rsidP="000F278E">
      <w:pPr>
        <w:jc w:val="center"/>
        <w:rPr>
          <w:sz w:val="24"/>
          <w:szCs w:val="24"/>
        </w:rPr>
      </w:pPr>
    </w:p>
    <w:p w14:paraId="6F3DEE74" w14:textId="77777777" w:rsidR="000F278E" w:rsidRDefault="000F278E" w:rsidP="000F278E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to United States Environmental Protection Agency, Region VI</w:t>
      </w:r>
    </w:p>
    <w:p w14:paraId="35F1C982" w14:textId="08A9159D" w:rsidR="000F278E" w:rsidRDefault="00D22332" w:rsidP="000F278E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2019</w:t>
      </w:r>
    </w:p>
    <w:bookmarkEnd w:id="0"/>
    <w:p w14:paraId="17CC5353" w14:textId="77777777" w:rsidR="000F278E" w:rsidRDefault="000F278E" w:rsidP="000F278E">
      <w:pPr>
        <w:jc w:val="center"/>
        <w:rPr>
          <w:sz w:val="24"/>
          <w:szCs w:val="24"/>
        </w:rPr>
      </w:pPr>
    </w:p>
    <w:p w14:paraId="14A55B7D" w14:textId="77777777" w:rsidR="000F278E" w:rsidRDefault="000F278E" w:rsidP="000F278E">
      <w:pPr>
        <w:jc w:val="center"/>
        <w:rPr>
          <w:sz w:val="24"/>
          <w:szCs w:val="24"/>
        </w:rPr>
      </w:pPr>
    </w:p>
    <w:p w14:paraId="26B39710" w14:textId="77777777" w:rsidR="009F765E" w:rsidRDefault="009F765E" w:rsidP="000F278E">
      <w:pPr>
        <w:spacing w:after="0"/>
        <w:rPr>
          <w:sz w:val="24"/>
          <w:szCs w:val="24"/>
        </w:rPr>
      </w:pPr>
    </w:p>
    <w:p w14:paraId="52B713AF" w14:textId="77777777" w:rsidR="009F765E" w:rsidRDefault="009F765E" w:rsidP="000F278E">
      <w:pPr>
        <w:spacing w:after="0"/>
        <w:rPr>
          <w:sz w:val="24"/>
          <w:szCs w:val="24"/>
        </w:rPr>
      </w:pPr>
    </w:p>
    <w:p w14:paraId="547AF65E" w14:textId="77777777" w:rsidR="009F765E" w:rsidRDefault="009F765E" w:rsidP="000F278E">
      <w:pPr>
        <w:spacing w:after="0"/>
        <w:rPr>
          <w:sz w:val="24"/>
          <w:szCs w:val="24"/>
        </w:rPr>
      </w:pPr>
    </w:p>
    <w:p w14:paraId="0C4A4D2B" w14:textId="58999203" w:rsidR="000F278E" w:rsidRDefault="000F278E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Agency Contact:  </w:t>
      </w:r>
      <w:r>
        <w:rPr>
          <w:sz w:val="24"/>
          <w:szCs w:val="24"/>
        </w:rPr>
        <w:tab/>
      </w:r>
      <w:r w:rsidR="00D22332">
        <w:rPr>
          <w:sz w:val="24"/>
          <w:szCs w:val="24"/>
        </w:rPr>
        <w:t>Neal Butt</w:t>
      </w:r>
    </w:p>
    <w:p w14:paraId="197F1602" w14:textId="1501E345" w:rsidR="000F278E" w:rsidRPr="00511009" w:rsidRDefault="00511009" w:rsidP="000F278E">
      <w:pPr>
        <w:spacing w:after="0"/>
        <w:rPr>
          <w:sz w:val="24"/>
          <w:szCs w:val="24"/>
        </w:rPr>
      </w:pPr>
      <w:r w:rsidRPr="00511009">
        <w:rPr>
          <w:rStyle w:val="Hyperlink"/>
          <w:sz w:val="24"/>
          <w:szCs w:val="24"/>
          <w:u w:val="none"/>
        </w:rPr>
        <w:tab/>
      </w:r>
      <w:r w:rsidRPr="00511009">
        <w:rPr>
          <w:rStyle w:val="Hyperlink"/>
          <w:sz w:val="24"/>
          <w:szCs w:val="24"/>
          <w:u w:val="none"/>
        </w:rPr>
        <w:tab/>
      </w:r>
      <w:r w:rsidRPr="00511009">
        <w:rPr>
          <w:rStyle w:val="Hyperlink"/>
          <w:sz w:val="24"/>
          <w:szCs w:val="24"/>
          <w:u w:val="none"/>
        </w:rPr>
        <w:tab/>
      </w:r>
      <w:r w:rsidR="00D22332" w:rsidRPr="00511009">
        <w:rPr>
          <w:sz w:val="24"/>
          <w:szCs w:val="24"/>
        </w:rPr>
        <w:t>neal.butt@state.nm.us</w:t>
      </w:r>
    </w:p>
    <w:p w14:paraId="3B7C04B9" w14:textId="5434552E" w:rsidR="000F278E" w:rsidRDefault="000F278E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(505) 476-</w:t>
      </w:r>
      <w:r w:rsidR="00D22332">
        <w:rPr>
          <w:sz w:val="24"/>
          <w:szCs w:val="24"/>
        </w:rPr>
        <w:t>4317</w:t>
      </w:r>
    </w:p>
    <w:p w14:paraId="1FCDF750" w14:textId="77777777" w:rsidR="009F765E" w:rsidRDefault="009F765E" w:rsidP="000F278E">
      <w:pPr>
        <w:spacing w:after="0"/>
        <w:rPr>
          <w:sz w:val="24"/>
          <w:szCs w:val="24"/>
        </w:rPr>
      </w:pPr>
    </w:p>
    <w:p w14:paraId="3B958431" w14:textId="77777777" w:rsidR="000F278E" w:rsidRDefault="009028E0" w:rsidP="002A16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Introduction</w:t>
      </w:r>
    </w:p>
    <w:p w14:paraId="71FD1441" w14:textId="77777777" w:rsidR="000F278E" w:rsidRPr="002A1621" w:rsidRDefault="000F278E" w:rsidP="000F278E">
      <w:pPr>
        <w:spacing w:after="0"/>
        <w:rPr>
          <w:b/>
        </w:rPr>
      </w:pPr>
    </w:p>
    <w:p w14:paraId="14FEF442" w14:textId="7D61CE5E" w:rsidR="000F278E" w:rsidRDefault="000F278E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Pursuant to Section </w:t>
      </w:r>
      <w:r w:rsidR="00B32F75">
        <w:rPr>
          <w:sz w:val="24"/>
          <w:szCs w:val="24"/>
        </w:rPr>
        <w:t>51.</w:t>
      </w:r>
      <w:r>
        <w:rPr>
          <w:sz w:val="24"/>
          <w:szCs w:val="24"/>
        </w:rPr>
        <w:t xml:space="preserve">1205 of the </w:t>
      </w:r>
      <w:r w:rsidR="009028E0">
        <w:rPr>
          <w:sz w:val="24"/>
          <w:szCs w:val="24"/>
        </w:rPr>
        <w:t xml:space="preserve">Data Requirements Rule </w:t>
      </w:r>
      <w:r w:rsidR="00B32F75">
        <w:rPr>
          <w:sz w:val="24"/>
          <w:szCs w:val="24"/>
        </w:rPr>
        <w:t xml:space="preserve">(DRR) </w:t>
      </w:r>
      <w:r w:rsidR="009028E0">
        <w:rPr>
          <w:sz w:val="24"/>
          <w:szCs w:val="24"/>
        </w:rPr>
        <w:t>for the 2010 1-Hour Sulfur Dioxide (SO</w:t>
      </w:r>
      <w:r w:rsidR="009028E0" w:rsidRPr="009028E0">
        <w:rPr>
          <w:sz w:val="24"/>
          <w:szCs w:val="24"/>
          <w:vertAlign w:val="subscript"/>
        </w:rPr>
        <w:t>2</w:t>
      </w:r>
      <w:r w:rsidR="009028E0">
        <w:rPr>
          <w:sz w:val="24"/>
          <w:szCs w:val="24"/>
        </w:rPr>
        <w:t>) Primary National Ambient Air Quality Standard (NAAQS</w:t>
      </w:r>
      <w:r w:rsidR="00276D74">
        <w:rPr>
          <w:sz w:val="24"/>
          <w:szCs w:val="24"/>
        </w:rPr>
        <w:t>) (</w:t>
      </w:r>
      <w:r w:rsidR="007271E7">
        <w:rPr>
          <w:sz w:val="24"/>
          <w:szCs w:val="24"/>
        </w:rPr>
        <w:t>80 FR 51052, 8/21/15)</w:t>
      </w:r>
      <w:r>
        <w:rPr>
          <w:sz w:val="24"/>
          <w:szCs w:val="24"/>
        </w:rPr>
        <w:t>,</w:t>
      </w:r>
      <w:r w:rsidR="009028E0">
        <w:rPr>
          <w:sz w:val="24"/>
          <w:szCs w:val="24"/>
        </w:rPr>
        <w:t xml:space="preserve"> </w:t>
      </w:r>
      <w:r w:rsidR="003F100F">
        <w:rPr>
          <w:sz w:val="24"/>
          <w:szCs w:val="24"/>
        </w:rPr>
        <w:t xml:space="preserve">air agencies are required to submit an annual </w:t>
      </w:r>
      <w:r w:rsidR="00B41A0D">
        <w:rPr>
          <w:sz w:val="24"/>
          <w:szCs w:val="24"/>
        </w:rPr>
        <w:t xml:space="preserve">report to their respective </w:t>
      </w:r>
      <w:r w:rsidR="00B32F75">
        <w:rPr>
          <w:sz w:val="24"/>
          <w:szCs w:val="24"/>
        </w:rPr>
        <w:t>U.S. Environmental Protection Agency (</w:t>
      </w:r>
      <w:r w:rsidR="00B41A0D">
        <w:rPr>
          <w:sz w:val="24"/>
          <w:szCs w:val="24"/>
        </w:rPr>
        <w:t>EPA</w:t>
      </w:r>
      <w:r w:rsidR="00B32F75">
        <w:rPr>
          <w:sz w:val="24"/>
          <w:szCs w:val="24"/>
        </w:rPr>
        <w:t>)</w:t>
      </w:r>
      <w:r w:rsidR="00B41A0D">
        <w:rPr>
          <w:sz w:val="24"/>
          <w:szCs w:val="24"/>
        </w:rPr>
        <w:t xml:space="preserve"> Regional Administrator </w:t>
      </w:r>
      <w:r w:rsidR="009028E0">
        <w:rPr>
          <w:sz w:val="24"/>
          <w:szCs w:val="24"/>
        </w:rPr>
        <w:t>for areas which demonstrated attainment for the 2010 SO</w:t>
      </w:r>
      <w:r w:rsidR="009028E0" w:rsidRPr="009028E0">
        <w:rPr>
          <w:sz w:val="24"/>
          <w:szCs w:val="24"/>
          <w:vertAlign w:val="subscript"/>
        </w:rPr>
        <w:t>2</w:t>
      </w:r>
      <w:r w:rsidR="009028E0">
        <w:rPr>
          <w:sz w:val="24"/>
          <w:szCs w:val="24"/>
        </w:rPr>
        <w:t xml:space="preserve"> NAAQS </w:t>
      </w:r>
      <w:r w:rsidR="00B32F75">
        <w:rPr>
          <w:sz w:val="24"/>
          <w:szCs w:val="24"/>
        </w:rPr>
        <w:t xml:space="preserve">via </w:t>
      </w:r>
      <w:r w:rsidR="009028E0">
        <w:rPr>
          <w:sz w:val="24"/>
          <w:szCs w:val="24"/>
        </w:rPr>
        <w:t>modeling of actual emissions</w:t>
      </w:r>
      <w:r w:rsidR="00B41A0D">
        <w:rPr>
          <w:sz w:val="24"/>
          <w:szCs w:val="24"/>
        </w:rPr>
        <w:t>. This report shall</w:t>
      </w:r>
      <w:r w:rsidR="009028E0">
        <w:rPr>
          <w:sz w:val="24"/>
          <w:szCs w:val="24"/>
        </w:rPr>
        <w:t xml:space="preserve"> document the annual SO</w:t>
      </w:r>
      <w:r w:rsidR="009028E0" w:rsidRPr="009028E0">
        <w:rPr>
          <w:sz w:val="24"/>
          <w:szCs w:val="24"/>
          <w:vertAlign w:val="subscript"/>
        </w:rPr>
        <w:t>2</w:t>
      </w:r>
      <w:r w:rsidR="009028E0">
        <w:rPr>
          <w:sz w:val="24"/>
          <w:szCs w:val="24"/>
        </w:rPr>
        <w:t xml:space="preserve"> emissions of each applicable source and provide an assessment of the cause of any emissions increase from the previous year. The first report </w:t>
      </w:r>
      <w:r w:rsidR="00B32F75">
        <w:rPr>
          <w:sz w:val="24"/>
          <w:szCs w:val="24"/>
        </w:rPr>
        <w:t xml:space="preserve">was </w:t>
      </w:r>
      <w:r w:rsidR="009028E0">
        <w:rPr>
          <w:sz w:val="24"/>
          <w:szCs w:val="24"/>
        </w:rPr>
        <w:t>due by July 1 of the calendar year after the effective date of the area’s initial designation</w:t>
      </w:r>
      <w:r w:rsidR="00B32F75">
        <w:rPr>
          <w:sz w:val="24"/>
          <w:szCs w:val="24"/>
        </w:rPr>
        <w:t xml:space="preserve"> (</w:t>
      </w:r>
      <w:r w:rsidR="00065367">
        <w:rPr>
          <w:sz w:val="24"/>
          <w:szCs w:val="24"/>
        </w:rPr>
        <w:t>i.e.</w:t>
      </w:r>
      <w:r w:rsidR="005A125D">
        <w:rPr>
          <w:sz w:val="24"/>
          <w:szCs w:val="24"/>
        </w:rPr>
        <w:t>,</w:t>
      </w:r>
      <w:r w:rsidR="00065367">
        <w:rPr>
          <w:sz w:val="24"/>
          <w:szCs w:val="24"/>
        </w:rPr>
        <w:t xml:space="preserve"> </w:t>
      </w:r>
      <w:r w:rsidR="00385E50">
        <w:rPr>
          <w:sz w:val="24"/>
          <w:szCs w:val="24"/>
        </w:rPr>
        <w:t xml:space="preserve">by </w:t>
      </w:r>
      <w:r w:rsidR="00065367">
        <w:rPr>
          <w:sz w:val="24"/>
          <w:szCs w:val="24"/>
        </w:rPr>
        <w:t>7/1/2018</w:t>
      </w:r>
      <w:r w:rsidR="00B32F75">
        <w:rPr>
          <w:sz w:val="24"/>
          <w:szCs w:val="24"/>
        </w:rPr>
        <w:t>)</w:t>
      </w:r>
      <w:r w:rsidR="009028E0">
        <w:rPr>
          <w:sz w:val="24"/>
          <w:szCs w:val="24"/>
        </w:rPr>
        <w:t>.</w:t>
      </w:r>
    </w:p>
    <w:p w14:paraId="13ED3829" w14:textId="77777777" w:rsidR="009028E0" w:rsidRPr="00B91BD2" w:rsidRDefault="009028E0" w:rsidP="000F278E">
      <w:pPr>
        <w:spacing w:after="0"/>
      </w:pPr>
    </w:p>
    <w:p w14:paraId="0E902882" w14:textId="7030BDAF" w:rsidR="009028E0" w:rsidRDefault="009028E0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areas of New Mexico </w:t>
      </w:r>
      <w:r w:rsidR="00C158DF">
        <w:rPr>
          <w:sz w:val="24"/>
          <w:szCs w:val="24"/>
        </w:rPr>
        <w:t>have been</w:t>
      </w:r>
      <w:r>
        <w:rPr>
          <w:sz w:val="24"/>
          <w:szCs w:val="24"/>
        </w:rPr>
        <w:t xml:space="preserve"> designated </w:t>
      </w:r>
      <w:r w:rsidR="004615C7">
        <w:rPr>
          <w:sz w:val="24"/>
          <w:szCs w:val="24"/>
        </w:rPr>
        <w:t>Attainment/Unclassifiable</w:t>
      </w:r>
      <w:r w:rsidR="009F7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three rounds of designations by the </w:t>
      </w:r>
      <w:r w:rsidR="00223BEA">
        <w:rPr>
          <w:sz w:val="24"/>
          <w:szCs w:val="24"/>
        </w:rPr>
        <w:t>EPA (</w:t>
      </w:r>
      <w:r w:rsidR="00082E18">
        <w:rPr>
          <w:sz w:val="24"/>
          <w:szCs w:val="24"/>
        </w:rPr>
        <w:t>83 FR 1184, 1/9/18)</w:t>
      </w:r>
      <w:r>
        <w:rPr>
          <w:sz w:val="24"/>
          <w:szCs w:val="24"/>
        </w:rPr>
        <w:t xml:space="preserve">. </w:t>
      </w:r>
      <w:r w:rsidR="00C158DF">
        <w:rPr>
          <w:sz w:val="24"/>
          <w:szCs w:val="24"/>
        </w:rPr>
        <w:t xml:space="preserve">As part of the </w:t>
      </w:r>
      <w:r w:rsidR="00385E50">
        <w:rPr>
          <w:sz w:val="24"/>
          <w:szCs w:val="24"/>
        </w:rPr>
        <w:t xml:space="preserve">Round </w:t>
      </w:r>
      <w:r w:rsidR="00C158DF">
        <w:rPr>
          <w:sz w:val="24"/>
          <w:szCs w:val="24"/>
        </w:rPr>
        <w:t>3 designation process, t</w:t>
      </w:r>
      <w:r>
        <w:rPr>
          <w:sz w:val="24"/>
          <w:szCs w:val="24"/>
        </w:rPr>
        <w:t xml:space="preserve">he 2015 </w:t>
      </w:r>
      <w:r w:rsidR="00385E50">
        <w:rPr>
          <w:sz w:val="24"/>
          <w:szCs w:val="24"/>
        </w:rPr>
        <w:t>DRR</w:t>
      </w:r>
      <w:r>
        <w:rPr>
          <w:sz w:val="24"/>
          <w:szCs w:val="24"/>
        </w:rPr>
        <w:t xml:space="preserve"> stipulated that, for </w:t>
      </w:r>
      <w:r w:rsidR="00385E50">
        <w:rPr>
          <w:sz w:val="24"/>
          <w:szCs w:val="24"/>
        </w:rPr>
        <w:t xml:space="preserve">those </w:t>
      </w:r>
      <w:r>
        <w:rPr>
          <w:sz w:val="24"/>
          <w:szCs w:val="24"/>
        </w:rPr>
        <w:t xml:space="preserve">areas surrounding sources </w:t>
      </w:r>
      <w:r w:rsidR="00385E50">
        <w:rPr>
          <w:sz w:val="24"/>
          <w:szCs w:val="24"/>
        </w:rPr>
        <w:t xml:space="preserve">that emit </w:t>
      </w:r>
      <w:r>
        <w:rPr>
          <w:sz w:val="24"/>
          <w:szCs w:val="24"/>
        </w:rPr>
        <w:t xml:space="preserve">2,000 tons per year (TPY) or more of </w:t>
      </w:r>
      <w:r w:rsidR="00385E50">
        <w:rPr>
          <w:sz w:val="24"/>
          <w:szCs w:val="24"/>
        </w:rPr>
        <w:t>SO</w:t>
      </w:r>
      <w:r w:rsidR="00385E50" w:rsidRPr="00385E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states must characterize air qua</w:t>
      </w:r>
      <w:r w:rsidR="00C158DF">
        <w:rPr>
          <w:sz w:val="24"/>
          <w:szCs w:val="24"/>
        </w:rPr>
        <w:t>lity in</w:t>
      </w:r>
      <w:r w:rsidR="00BA5967">
        <w:rPr>
          <w:sz w:val="24"/>
          <w:szCs w:val="24"/>
        </w:rPr>
        <w:t xml:space="preserve"> proximity to the source</w:t>
      </w:r>
      <w:r w:rsidR="00082E18">
        <w:rPr>
          <w:sz w:val="24"/>
          <w:szCs w:val="24"/>
        </w:rPr>
        <w:t xml:space="preserve"> using </w:t>
      </w:r>
      <w:r w:rsidR="00C158DF">
        <w:rPr>
          <w:sz w:val="24"/>
          <w:szCs w:val="24"/>
        </w:rPr>
        <w:t xml:space="preserve">one of </w:t>
      </w:r>
      <w:r w:rsidR="00FD0543">
        <w:rPr>
          <w:sz w:val="24"/>
          <w:szCs w:val="24"/>
        </w:rPr>
        <w:t xml:space="preserve">the following </w:t>
      </w:r>
      <w:r w:rsidR="00C158DF">
        <w:rPr>
          <w:sz w:val="24"/>
          <w:szCs w:val="24"/>
        </w:rPr>
        <w:t xml:space="preserve">three </w:t>
      </w:r>
      <w:r w:rsidR="00082E18">
        <w:rPr>
          <w:sz w:val="24"/>
          <w:szCs w:val="24"/>
        </w:rPr>
        <w:t>methods</w:t>
      </w:r>
      <w:r w:rsidR="00C158DF">
        <w:rPr>
          <w:sz w:val="24"/>
          <w:szCs w:val="24"/>
        </w:rPr>
        <w:t>: (1) a</w:t>
      </w:r>
      <w:r>
        <w:rPr>
          <w:sz w:val="24"/>
          <w:szCs w:val="24"/>
        </w:rPr>
        <w:t xml:space="preserve">mbient air monitoring; (2) modeling of either actual or allowable emissions; or (3) demonstration of </w:t>
      </w:r>
      <w:r w:rsidR="00385E50">
        <w:rPr>
          <w:sz w:val="24"/>
          <w:szCs w:val="24"/>
        </w:rPr>
        <w:t xml:space="preserve">federally </w:t>
      </w:r>
      <w:r>
        <w:rPr>
          <w:sz w:val="24"/>
          <w:szCs w:val="24"/>
        </w:rPr>
        <w:t xml:space="preserve">enforceable emissions limitations </w:t>
      </w:r>
      <w:r w:rsidR="002E703E">
        <w:rPr>
          <w:sz w:val="24"/>
          <w:szCs w:val="24"/>
        </w:rPr>
        <w:t xml:space="preserve">that limit emissions of an applicable source to </w:t>
      </w:r>
      <w:r>
        <w:rPr>
          <w:sz w:val="24"/>
          <w:szCs w:val="24"/>
        </w:rPr>
        <w:t>below the 2,000 TPY threshold.</w:t>
      </w:r>
    </w:p>
    <w:p w14:paraId="4B6EABC3" w14:textId="77777777" w:rsidR="00C158DF" w:rsidRPr="004A407F" w:rsidRDefault="00C158DF" w:rsidP="000F278E">
      <w:pPr>
        <w:spacing w:after="0"/>
      </w:pPr>
    </w:p>
    <w:p w14:paraId="6FC03BF1" w14:textId="4807D080" w:rsidR="00C158DF" w:rsidRDefault="00C158DF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New Mexico, the only </w:t>
      </w:r>
      <w:r w:rsidR="00223BEA">
        <w:rPr>
          <w:sz w:val="24"/>
          <w:szCs w:val="24"/>
        </w:rPr>
        <w:t>source exceeding</w:t>
      </w:r>
      <w:r>
        <w:rPr>
          <w:sz w:val="24"/>
          <w:szCs w:val="24"/>
        </w:rPr>
        <w:t xml:space="preserve"> the 2,000 TPY threshold was the San Juan Generating Station (SJGS)</w:t>
      </w:r>
      <w:r w:rsidR="00693C1A">
        <w:rPr>
          <w:sz w:val="24"/>
          <w:szCs w:val="24"/>
        </w:rPr>
        <w:t xml:space="preserve"> in San Juan County</w:t>
      </w:r>
      <w:r>
        <w:rPr>
          <w:sz w:val="24"/>
          <w:szCs w:val="24"/>
        </w:rPr>
        <w:t xml:space="preserve">. This source, working with the </w:t>
      </w:r>
      <w:r w:rsidR="001E33D3">
        <w:rPr>
          <w:sz w:val="24"/>
          <w:szCs w:val="24"/>
        </w:rPr>
        <w:t>New Mexico Environment Department (NMED)</w:t>
      </w:r>
      <w:r>
        <w:rPr>
          <w:sz w:val="24"/>
          <w:szCs w:val="24"/>
        </w:rPr>
        <w:t xml:space="preserve">, decided to characterize that area’s air quality by modeling actual emissions. Modeling submitted to EPA in January 2017 demonstrated that this area met the 2010 </w:t>
      </w:r>
      <w:r w:rsidR="00385993">
        <w:rPr>
          <w:sz w:val="24"/>
          <w:szCs w:val="24"/>
        </w:rPr>
        <w:t>1-</w:t>
      </w:r>
      <w:r w:rsidR="00DC5044">
        <w:rPr>
          <w:sz w:val="24"/>
          <w:szCs w:val="24"/>
        </w:rPr>
        <w:t>h</w:t>
      </w:r>
      <w:r w:rsidR="00385993">
        <w:rPr>
          <w:sz w:val="24"/>
          <w:szCs w:val="24"/>
        </w:rPr>
        <w:t xml:space="preserve">our </w:t>
      </w:r>
      <w:r>
        <w:rPr>
          <w:sz w:val="24"/>
          <w:szCs w:val="24"/>
        </w:rPr>
        <w:t>SO</w:t>
      </w:r>
      <w:r w:rsidRPr="00C158D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Primary NAAQS, using quality-assured data from the SJGS’ continuous emissions monitoring system (CEMS) for the years 2013-2015.</w:t>
      </w:r>
    </w:p>
    <w:p w14:paraId="3CC8802A" w14:textId="77777777" w:rsidR="00C158DF" w:rsidRPr="00607C96" w:rsidRDefault="00C158DF" w:rsidP="000F278E">
      <w:pPr>
        <w:spacing w:after="0"/>
      </w:pPr>
    </w:p>
    <w:p w14:paraId="739E174F" w14:textId="29820855" w:rsidR="00DB3646" w:rsidRDefault="00C158DF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the </w:t>
      </w:r>
      <w:r w:rsidR="008578E6">
        <w:rPr>
          <w:sz w:val="24"/>
          <w:szCs w:val="24"/>
        </w:rPr>
        <w:t xml:space="preserve">second </w:t>
      </w:r>
      <w:r>
        <w:rPr>
          <w:sz w:val="24"/>
          <w:szCs w:val="24"/>
        </w:rPr>
        <w:t xml:space="preserve">annual report required by the 2015 </w:t>
      </w:r>
      <w:r w:rsidR="008578E6">
        <w:rPr>
          <w:sz w:val="24"/>
          <w:szCs w:val="24"/>
        </w:rPr>
        <w:t>DRR</w:t>
      </w:r>
      <w:r>
        <w:rPr>
          <w:sz w:val="24"/>
          <w:szCs w:val="24"/>
        </w:rPr>
        <w:t xml:space="preserve">. </w:t>
      </w:r>
      <w:r w:rsidR="009365F5">
        <w:rPr>
          <w:sz w:val="24"/>
          <w:szCs w:val="24"/>
        </w:rPr>
        <w:t>NMED</w:t>
      </w:r>
      <w:r>
        <w:rPr>
          <w:sz w:val="24"/>
          <w:szCs w:val="24"/>
        </w:rPr>
        <w:t xml:space="preserve"> has assessed the </w:t>
      </w:r>
      <w:r w:rsidR="00BF5A73">
        <w:rPr>
          <w:sz w:val="24"/>
          <w:szCs w:val="24"/>
        </w:rPr>
        <w:t>2016,</w:t>
      </w:r>
      <w:r w:rsidR="008578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</w:t>
      </w:r>
      <w:r w:rsidR="008578E6">
        <w:rPr>
          <w:sz w:val="24"/>
          <w:szCs w:val="24"/>
        </w:rPr>
        <w:t xml:space="preserve">and 2018 </w:t>
      </w:r>
      <w:r>
        <w:rPr>
          <w:sz w:val="24"/>
          <w:szCs w:val="24"/>
        </w:rPr>
        <w:t>emissions data generated by the SJGS CEMS</w:t>
      </w:r>
      <w:r w:rsidR="009365F5">
        <w:rPr>
          <w:sz w:val="24"/>
          <w:szCs w:val="24"/>
        </w:rPr>
        <w:t>. Since emissions</w:t>
      </w:r>
      <w:r w:rsidR="00C8517F">
        <w:rPr>
          <w:sz w:val="24"/>
          <w:szCs w:val="24"/>
        </w:rPr>
        <w:t xml:space="preserve"> for </w:t>
      </w:r>
      <w:r w:rsidR="008578E6">
        <w:rPr>
          <w:sz w:val="24"/>
          <w:szCs w:val="24"/>
        </w:rPr>
        <w:t xml:space="preserve">all three </w:t>
      </w:r>
      <w:r w:rsidR="00C8517F">
        <w:rPr>
          <w:sz w:val="24"/>
          <w:szCs w:val="24"/>
        </w:rPr>
        <w:t>years</w:t>
      </w:r>
      <w:r w:rsidR="009365F5">
        <w:rPr>
          <w:sz w:val="24"/>
          <w:szCs w:val="24"/>
        </w:rPr>
        <w:t xml:space="preserve"> have decreased</w:t>
      </w:r>
      <w:r w:rsidR="00D3738D">
        <w:rPr>
          <w:sz w:val="24"/>
          <w:szCs w:val="24"/>
        </w:rPr>
        <w:t xml:space="preserve"> from 2015 levels and 3-year averages also show an emissions decrease</w:t>
      </w:r>
      <w:r w:rsidR="009365F5">
        <w:rPr>
          <w:sz w:val="24"/>
          <w:szCs w:val="24"/>
        </w:rPr>
        <w:t>, NMED recommends that no new modeling for this source be required.</w:t>
      </w:r>
      <w:r w:rsidR="00065367">
        <w:rPr>
          <w:sz w:val="24"/>
          <w:szCs w:val="24"/>
        </w:rPr>
        <w:t xml:space="preserve"> </w:t>
      </w:r>
      <w:r w:rsidR="009365F5">
        <w:rPr>
          <w:sz w:val="24"/>
          <w:szCs w:val="24"/>
        </w:rPr>
        <w:t xml:space="preserve">In addition, because two of the four </w:t>
      </w:r>
      <w:r w:rsidR="00C8517F">
        <w:rPr>
          <w:sz w:val="24"/>
          <w:szCs w:val="24"/>
        </w:rPr>
        <w:t xml:space="preserve">generating units </w:t>
      </w:r>
      <w:r w:rsidR="009365F5">
        <w:rPr>
          <w:sz w:val="24"/>
          <w:szCs w:val="24"/>
        </w:rPr>
        <w:t xml:space="preserve">have been </w:t>
      </w:r>
      <w:r w:rsidR="00C8517F">
        <w:rPr>
          <w:sz w:val="24"/>
          <w:szCs w:val="24"/>
        </w:rPr>
        <w:t xml:space="preserve">permanently </w:t>
      </w:r>
      <w:r w:rsidR="009365F5">
        <w:rPr>
          <w:sz w:val="24"/>
          <w:szCs w:val="24"/>
        </w:rPr>
        <w:t>shut down, NMED anticipates that this source will emit less than the 2,000 TPY threshold in the future.</w:t>
      </w:r>
    </w:p>
    <w:p w14:paraId="0A01EFA7" w14:textId="77777777" w:rsidR="00FC0120" w:rsidRPr="00CD62D0" w:rsidRDefault="00FC0120" w:rsidP="00AF0C95">
      <w:pPr>
        <w:spacing w:after="0" w:line="240" w:lineRule="auto"/>
      </w:pPr>
    </w:p>
    <w:p w14:paraId="07538B59" w14:textId="77777777" w:rsidR="009365F5" w:rsidRDefault="00E76F00" w:rsidP="00AF0C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Emissions </w:t>
      </w:r>
      <w:r w:rsidR="009365F5">
        <w:rPr>
          <w:b/>
          <w:sz w:val="28"/>
          <w:szCs w:val="28"/>
        </w:rPr>
        <w:t>Data Summary – San Juan Generating Station</w:t>
      </w:r>
    </w:p>
    <w:p w14:paraId="2B159938" w14:textId="77777777" w:rsidR="009365F5" w:rsidRPr="00AF0C95" w:rsidRDefault="009365F5" w:rsidP="00AF0C95">
      <w:pPr>
        <w:spacing w:after="0" w:line="240" w:lineRule="auto"/>
        <w:rPr>
          <w:b/>
        </w:rPr>
      </w:pPr>
    </w:p>
    <w:p w14:paraId="76A3C28C" w14:textId="6284F94A" w:rsidR="00DB0906" w:rsidRDefault="00150EA2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>SO</w:t>
      </w:r>
      <w:r w:rsidRPr="00150EA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from SJGS are </w:t>
      </w:r>
      <w:r w:rsidR="00857AE0">
        <w:rPr>
          <w:sz w:val="24"/>
          <w:szCs w:val="24"/>
        </w:rPr>
        <w:t>recorded</w:t>
      </w:r>
      <w:r>
        <w:rPr>
          <w:sz w:val="24"/>
          <w:szCs w:val="24"/>
        </w:rPr>
        <w:t xml:space="preserve"> by the station’s CEMS.</w:t>
      </w:r>
      <w:r w:rsidR="00065367">
        <w:rPr>
          <w:sz w:val="24"/>
          <w:szCs w:val="24"/>
        </w:rPr>
        <w:t xml:space="preserve"> </w:t>
      </w:r>
      <w:r>
        <w:rPr>
          <w:sz w:val="24"/>
          <w:szCs w:val="24"/>
        </w:rPr>
        <w:t>Data is quality</w:t>
      </w:r>
      <w:r w:rsidR="005E6A8D">
        <w:rPr>
          <w:sz w:val="24"/>
          <w:szCs w:val="24"/>
        </w:rPr>
        <w:t>-</w:t>
      </w:r>
      <w:r>
        <w:rPr>
          <w:sz w:val="24"/>
          <w:szCs w:val="24"/>
        </w:rPr>
        <w:t>assured by the source and submitted annually to NMED. A summary of the main trends in SO</w:t>
      </w:r>
      <w:r w:rsidRPr="00150EA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="002E703E">
        <w:rPr>
          <w:sz w:val="24"/>
          <w:szCs w:val="24"/>
        </w:rPr>
        <w:t xml:space="preserve">emissions </w:t>
      </w:r>
      <w:r w:rsidR="008137BA">
        <w:rPr>
          <w:sz w:val="24"/>
          <w:szCs w:val="24"/>
        </w:rPr>
        <w:t xml:space="preserve">are </w:t>
      </w:r>
      <w:r>
        <w:rPr>
          <w:sz w:val="24"/>
          <w:szCs w:val="24"/>
        </w:rPr>
        <w:t>shown in Table 1</w:t>
      </w:r>
      <w:r w:rsidR="00DD3250">
        <w:rPr>
          <w:sz w:val="24"/>
          <w:szCs w:val="24"/>
        </w:rPr>
        <w:t>,</w:t>
      </w:r>
      <w:r>
        <w:rPr>
          <w:sz w:val="24"/>
          <w:szCs w:val="24"/>
        </w:rPr>
        <w:t xml:space="preserve"> below.</w:t>
      </w:r>
    </w:p>
    <w:p w14:paraId="5EB7D3A8" w14:textId="77777777" w:rsidR="00DB0906" w:rsidRDefault="00DB09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D5358C" w14:textId="77777777" w:rsidR="00150EA2" w:rsidRDefault="00150EA2" w:rsidP="000F27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Table 1: </w:t>
      </w:r>
      <w:r>
        <w:rPr>
          <w:sz w:val="24"/>
          <w:szCs w:val="24"/>
        </w:rPr>
        <w:t>Trends in SO</w:t>
      </w:r>
      <w:r w:rsidRPr="00150EA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from San Juan Generating Station by year.</w:t>
      </w:r>
    </w:p>
    <w:tbl>
      <w:tblPr>
        <w:tblStyle w:val="TableGrid"/>
        <w:tblW w:w="7500" w:type="dxa"/>
        <w:tblLook w:val="04A0" w:firstRow="1" w:lastRow="0" w:firstColumn="1" w:lastColumn="0" w:noHBand="0" w:noVBand="1"/>
      </w:tblPr>
      <w:tblGrid>
        <w:gridCol w:w="704"/>
        <w:gridCol w:w="2030"/>
        <w:gridCol w:w="2383"/>
        <w:gridCol w:w="2383"/>
      </w:tblGrid>
      <w:tr w:rsidR="00D3738D" w14:paraId="192BE1B6" w14:textId="77777777" w:rsidTr="00D3738D">
        <w:tc>
          <w:tcPr>
            <w:tcW w:w="704" w:type="dxa"/>
          </w:tcPr>
          <w:p w14:paraId="2A740C56" w14:textId="77777777" w:rsidR="00D3738D" w:rsidRPr="00150EA2" w:rsidRDefault="00D3738D" w:rsidP="000F278E">
            <w:pPr>
              <w:rPr>
                <w:b/>
                <w:sz w:val="24"/>
                <w:szCs w:val="24"/>
              </w:rPr>
            </w:pPr>
            <w:r w:rsidRPr="00150EA2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030" w:type="dxa"/>
          </w:tcPr>
          <w:p w14:paraId="4109F5DD" w14:textId="77777777" w:rsidR="00D3738D" w:rsidRPr="00150EA2" w:rsidRDefault="00D3738D" w:rsidP="000F2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1-hour average SO</w:t>
            </w:r>
            <w:r w:rsidRPr="008A0FA8"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 xml:space="preserve"> emissions (lb</w:t>
            </w:r>
            <w:r w:rsidR="00AF3BFE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>/hr</w:t>
            </w:r>
            <w:r w:rsidR="00AF3BF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14:paraId="362A0916" w14:textId="77777777" w:rsidR="00D3738D" w:rsidRPr="00150EA2" w:rsidRDefault="00D3738D" w:rsidP="000F2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1-hour maximum </w:t>
            </w:r>
            <w:r w:rsidR="00591B30">
              <w:rPr>
                <w:b/>
                <w:sz w:val="24"/>
                <w:szCs w:val="24"/>
              </w:rPr>
              <w:t>SO</w:t>
            </w:r>
            <w:r w:rsidR="00591B30" w:rsidRPr="00591B30">
              <w:rPr>
                <w:b/>
                <w:sz w:val="24"/>
                <w:szCs w:val="24"/>
                <w:vertAlign w:val="subscript"/>
              </w:rPr>
              <w:t>2</w:t>
            </w:r>
            <w:r w:rsidR="00591B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emissions (lb</w:t>
            </w:r>
            <w:r w:rsidR="00AF3BFE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>/hr</w:t>
            </w:r>
            <w:r w:rsidR="00AF3BF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14:paraId="05AB56C1" w14:textId="77777777" w:rsidR="00D3738D" w:rsidRDefault="00591B30" w:rsidP="000F2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Pr="00591B3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percentile of 1-hour daily maximum SO</w:t>
            </w:r>
            <w:r w:rsidRPr="00591B30"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 xml:space="preserve"> emissions (lb</w:t>
            </w:r>
            <w:r w:rsidR="00AF3BFE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>/hr</w:t>
            </w:r>
            <w:r w:rsidR="00AF3BF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3738D" w14:paraId="63503D85" w14:textId="77777777" w:rsidTr="00D3738D">
        <w:tc>
          <w:tcPr>
            <w:tcW w:w="704" w:type="dxa"/>
          </w:tcPr>
          <w:p w14:paraId="437ED46A" w14:textId="77777777" w:rsidR="00D3738D" w:rsidRDefault="00D3738D" w:rsidP="00D3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30" w:type="dxa"/>
          </w:tcPr>
          <w:p w14:paraId="73A7C36B" w14:textId="4E2F5D34" w:rsidR="00D3738D" w:rsidRDefault="0028581F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1364.77</w:t>
            </w:r>
            <w:r w:rsidR="006B3B2A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2383" w:type="dxa"/>
          </w:tcPr>
          <w:p w14:paraId="0600C2B5" w14:textId="0A177D8B" w:rsidR="00D3738D" w:rsidRDefault="0028581F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6170.16</w:t>
            </w:r>
            <w:r w:rsidR="00CE535B"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2383" w:type="dxa"/>
          </w:tcPr>
          <w:p w14:paraId="663A3D58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4191.17</w:t>
            </w:r>
          </w:p>
        </w:tc>
      </w:tr>
      <w:tr w:rsidR="00D3738D" w14:paraId="3CBC6243" w14:textId="77777777" w:rsidTr="00D3738D">
        <w:tc>
          <w:tcPr>
            <w:tcW w:w="704" w:type="dxa"/>
          </w:tcPr>
          <w:p w14:paraId="18550E61" w14:textId="77777777" w:rsidR="00D3738D" w:rsidRDefault="00D3738D" w:rsidP="00D3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030" w:type="dxa"/>
          </w:tcPr>
          <w:p w14:paraId="12156AC5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1112.82</w:t>
            </w:r>
          </w:p>
        </w:tc>
        <w:tc>
          <w:tcPr>
            <w:tcW w:w="2383" w:type="dxa"/>
          </w:tcPr>
          <w:p w14:paraId="5AADBEA3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5654.98</w:t>
            </w:r>
          </w:p>
        </w:tc>
        <w:tc>
          <w:tcPr>
            <w:tcW w:w="2383" w:type="dxa"/>
          </w:tcPr>
          <w:p w14:paraId="56776076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3826.12</w:t>
            </w:r>
          </w:p>
        </w:tc>
      </w:tr>
      <w:tr w:rsidR="00D3738D" w14:paraId="4259569E" w14:textId="77777777" w:rsidTr="00D3738D">
        <w:tc>
          <w:tcPr>
            <w:tcW w:w="704" w:type="dxa"/>
          </w:tcPr>
          <w:p w14:paraId="2212848D" w14:textId="77777777" w:rsidR="00D3738D" w:rsidRDefault="00D3738D" w:rsidP="00D3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030" w:type="dxa"/>
          </w:tcPr>
          <w:p w14:paraId="3B73D164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772.98</w:t>
            </w:r>
          </w:p>
        </w:tc>
        <w:tc>
          <w:tcPr>
            <w:tcW w:w="2383" w:type="dxa"/>
          </w:tcPr>
          <w:p w14:paraId="6534BDB2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5373.22</w:t>
            </w:r>
          </w:p>
        </w:tc>
        <w:tc>
          <w:tcPr>
            <w:tcW w:w="2383" w:type="dxa"/>
          </w:tcPr>
          <w:p w14:paraId="335E43BC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4565.88</w:t>
            </w:r>
          </w:p>
        </w:tc>
      </w:tr>
      <w:tr w:rsidR="00D3738D" w14:paraId="5D12F954" w14:textId="77777777" w:rsidTr="00D3738D">
        <w:tc>
          <w:tcPr>
            <w:tcW w:w="704" w:type="dxa"/>
          </w:tcPr>
          <w:p w14:paraId="785CC4A3" w14:textId="77777777" w:rsidR="00D3738D" w:rsidRDefault="00D3738D" w:rsidP="00D3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30" w:type="dxa"/>
          </w:tcPr>
          <w:p w14:paraId="19F087DF" w14:textId="77777777" w:rsidR="00D3738D" w:rsidRPr="000F09DC" w:rsidRDefault="00C07321" w:rsidP="00D3738D">
            <w:pPr>
              <w:jc w:val="right"/>
              <w:rPr>
                <w:sz w:val="24"/>
                <w:szCs w:val="24"/>
              </w:rPr>
            </w:pPr>
            <w:r w:rsidRPr="000F09DC">
              <w:rPr>
                <w:sz w:val="24"/>
                <w:szCs w:val="24"/>
              </w:rPr>
              <w:t>64</w:t>
            </w:r>
            <w:r w:rsidR="00D3738D" w:rsidRPr="000F09DC">
              <w:rPr>
                <w:sz w:val="24"/>
                <w:szCs w:val="24"/>
              </w:rPr>
              <w:t>9.47</w:t>
            </w:r>
          </w:p>
        </w:tc>
        <w:tc>
          <w:tcPr>
            <w:tcW w:w="2383" w:type="dxa"/>
          </w:tcPr>
          <w:p w14:paraId="3B9923CB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5121.94</w:t>
            </w:r>
          </w:p>
        </w:tc>
        <w:tc>
          <w:tcPr>
            <w:tcW w:w="2383" w:type="dxa"/>
          </w:tcPr>
          <w:p w14:paraId="7CFEFBE8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3637.60</w:t>
            </w:r>
          </w:p>
        </w:tc>
      </w:tr>
      <w:tr w:rsidR="00D3738D" w14:paraId="02C7A8E0" w14:textId="77777777" w:rsidTr="00D3738D">
        <w:tc>
          <w:tcPr>
            <w:tcW w:w="704" w:type="dxa"/>
          </w:tcPr>
          <w:p w14:paraId="3BF3E3B5" w14:textId="77777777" w:rsidR="00D3738D" w:rsidRDefault="00D3738D" w:rsidP="00D3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030" w:type="dxa"/>
          </w:tcPr>
          <w:p w14:paraId="16736894" w14:textId="77777777" w:rsidR="00D3738D" w:rsidRPr="000F09DC" w:rsidRDefault="00D3738D" w:rsidP="00D3738D">
            <w:pPr>
              <w:jc w:val="right"/>
              <w:rPr>
                <w:sz w:val="24"/>
                <w:szCs w:val="24"/>
              </w:rPr>
            </w:pPr>
            <w:r w:rsidRPr="000F09DC">
              <w:rPr>
                <w:sz w:val="24"/>
                <w:szCs w:val="24"/>
              </w:rPr>
              <w:t>703.71</w:t>
            </w:r>
          </w:p>
        </w:tc>
        <w:tc>
          <w:tcPr>
            <w:tcW w:w="2383" w:type="dxa"/>
          </w:tcPr>
          <w:p w14:paraId="647FB6BA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3515.77</w:t>
            </w:r>
          </w:p>
        </w:tc>
        <w:tc>
          <w:tcPr>
            <w:tcW w:w="2383" w:type="dxa"/>
          </w:tcPr>
          <w:p w14:paraId="1291E9EB" w14:textId="77777777" w:rsidR="00D3738D" w:rsidRDefault="00D3738D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2997.42</w:t>
            </w:r>
          </w:p>
        </w:tc>
      </w:tr>
      <w:tr w:rsidR="00A4655A" w14:paraId="1019C416" w14:textId="77777777" w:rsidTr="00D3738D">
        <w:tc>
          <w:tcPr>
            <w:tcW w:w="704" w:type="dxa"/>
          </w:tcPr>
          <w:p w14:paraId="40A65E4F" w14:textId="77777777" w:rsidR="00A4655A" w:rsidRDefault="00A4655A" w:rsidP="00D3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30" w:type="dxa"/>
          </w:tcPr>
          <w:p w14:paraId="497CDABC" w14:textId="77777777" w:rsidR="00A4655A" w:rsidRPr="000F09DC" w:rsidRDefault="00550DCC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270.602</w:t>
            </w:r>
          </w:p>
        </w:tc>
        <w:tc>
          <w:tcPr>
            <w:tcW w:w="2383" w:type="dxa"/>
          </w:tcPr>
          <w:p w14:paraId="55E04D90" w14:textId="77777777" w:rsidR="00A4655A" w:rsidRDefault="00550DCC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3266.61</w:t>
            </w:r>
          </w:p>
        </w:tc>
        <w:tc>
          <w:tcPr>
            <w:tcW w:w="2383" w:type="dxa"/>
          </w:tcPr>
          <w:p w14:paraId="190C8367" w14:textId="77777777" w:rsidR="00A4655A" w:rsidRDefault="00550DCC" w:rsidP="00D37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1300.1</w:t>
            </w:r>
          </w:p>
        </w:tc>
      </w:tr>
    </w:tbl>
    <w:p w14:paraId="47844646" w14:textId="77777777" w:rsidR="00150EA2" w:rsidRPr="005D4A69" w:rsidRDefault="00150EA2" w:rsidP="000F278E">
      <w:pPr>
        <w:spacing w:after="0"/>
      </w:pPr>
    </w:p>
    <w:p w14:paraId="3888D3CE" w14:textId="6ED6993C" w:rsidR="00090EA9" w:rsidRDefault="00A876EB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C07321">
        <w:rPr>
          <w:sz w:val="24"/>
          <w:szCs w:val="24"/>
        </w:rPr>
        <w:t>2017</w:t>
      </w:r>
      <w:r>
        <w:rPr>
          <w:sz w:val="24"/>
          <w:szCs w:val="24"/>
        </w:rPr>
        <w:t>, the</w:t>
      </w:r>
      <w:r w:rsidR="00C07321">
        <w:rPr>
          <w:sz w:val="24"/>
          <w:szCs w:val="24"/>
        </w:rPr>
        <w:t xml:space="preserve"> annual 1-hour average SO</w:t>
      </w:r>
      <w:r w:rsidR="00C07321" w:rsidRPr="00090EA9">
        <w:rPr>
          <w:sz w:val="24"/>
          <w:szCs w:val="24"/>
          <w:vertAlign w:val="subscript"/>
        </w:rPr>
        <w:t>2</w:t>
      </w:r>
      <w:r w:rsidR="00C07321">
        <w:rPr>
          <w:sz w:val="24"/>
          <w:szCs w:val="24"/>
        </w:rPr>
        <w:t xml:space="preserve"> emissions</w:t>
      </w:r>
      <w:r>
        <w:rPr>
          <w:sz w:val="24"/>
          <w:szCs w:val="24"/>
        </w:rPr>
        <w:t xml:space="preserve"> increased from 2016</w:t>
      </w:r>
      <w:r w:rsidR="00AB52B2">
        <w:rPr>
          <w:sz w:val="24"/>
          <w:szCs w:val="24"/>
        </w:rPr>
        <w:t xml:space="preserve"> due to</w:t>
      </w:r>
      <w:r w:rsidR="00FD2A71">
        <w:rPr>
          <w:sz w:val="24"/>
          <w:szCs w:val="24"/>
        </w:rPr>
        <w:t xml:space="preserve"> increased</w:t>
      </w:r>
      <w:r>
        <w:rPr>
          <w:sz w:val="24"/>
          <w:szCs w:val="24"/>
        </w:rPr>
        <w:t xml:space="preserve"> unit operation</w:t>
      </w:r>
      <w:r w:rsidR="00FD2A71">
        <w:rPr>
          <w:sz w:val="24"/>
          <w:szCs w:val="24"/>
        </w:rPr>
        <w:t>al</w:t>
      </w:r>
      <w:r w:rsidR="006011C9">
        <w:rPr>
          <w:sz w:val="24"/>
          <w:szCs w:val="24"/>
        </w:rPr>
        <w:t xml:space="preserve"> efficiencies. During</w:t>
      </w:r>
      <w:r>
        <w:rPr>
          <w:sz w:val="24"/>
          <w:szCs w:val="24"/>
        </w:rPr>
        <w:t xml:space="preserve"> 2016, all four units experienced more downtime due to maintenance issues or other unexpected malfunctions. However, in 2017, </w:t>
      </w:r>
      <w:r w:rsidR="00FD2A71">
        <w:rPr>
          <w:sz w:val="24"/>
          <w:szCs w:val="24"/>
        </w:rPr>
        <w:t>all four units maintained a higher operational efficiency which resulted in less downtime and therefore,</w:t>
      </w:r>
      <w:r w:rsidR="00AB52B2">
        <w:rPr>
          <w:sz w:val="24"/>
          <w:szCs w:val="24"/>
        </w:rPr>
        <w:t xml:space="preserve"> increased </w:t>
      </w:r>
      <w:r w:rsidR="000F09DC">
        <w:rPr>
          <w:sz w:val="24"/>
          <w:szCs w:val="24"/>
        </w:rPr>
        <w:t>loads (2016 average load 372.4 MW/day; 2017 average load 383.6 MW/day)</w:t>
      </w:r>
      <w:r w:rsidR="00FD2A71">
        <w:rPr>
          <w:sz w:val="24"/>
          <w:szCs w:val="24"/>
        </w:rPr>
        <w:t xml:space="preserve"> and </w:t>
      </w:r>
      <w:r w:rsidR="004A7FC4">
        <w:rPr>
          <w:sz w:val="24"/>
          <w:szCs w:val="24"/>
        </w:rPr>
        <w:t xml:space="preserve">associated </w:t>
      </w:r>
      <w:r w:rsidR="00FD2A71">
        <w:rPr>
          <w:sz w:val="24"/>
          <w:szCs w:val="24"/>
        </w:rPr>
        <w:t>emissions.</w:t>
      </w:r>
      <w:r w:rsidR="00C07321">
        <w:rPr>
          <w:sz w:val="24"/>
          <w:szCs w:val="24"/>
        </w:rPr>
        <w:t xml:space="preserve"> </w:t>
      </w:r>
      <w:r w:rsidR="00A4655A">
        <w:rPr>
          <w:sz w:val="24"/>
          <w:szCs w:val="24"/>
        </w:rPr>
        <w:t>In 2018 the annual 1-hour average SO</w:t>
      </w:r>
      <w:r w:rsidR="00A4655A" w:rsidRPr="00231FFF">
        <w:rPr>
          <w:sz w:val="24"/>
          <w:szCs w:val="24"/>
          <w:vertAlign w:val="subscript"/>
        </w:rPr>
        <w:t>2</w:t>
      </w:r>
      <w:r w:rsidR="00A4655A">
        <w:rPr>
          <w:sz w:val="24"/>
          <w:szCs w:val="24"/>
        </w:rPr>
        <w:t xml:space="preserve"> emissions decreased from 2017 due to the </w:t>
      </w:r>
      <w:r w:rsidR="00231FFF">
        <w:rPr>
          <w:sz w:val="24"/>
          <w:szCs w:val="24"/>
        </w:rPr>
        <w:t>shutdown</w:t>
      </w:r>
      <w:r w:rsidR="00A4655A">
        <w:rPr>
          <w:sz w:val="24"/>
          <w:szCs w:val="24"/>
        </w:rPr>
        <w:t xml:space="preserve"> of Units </w:t>
      </w:r>
      <w:r w:rsidR="00231FFF">
        <w:rPr>
          <w:sz w:val="24"/>
          <w:szCs w:val="24"/>
        </w:rPr>
        <w:t xml:space="preserve">2 and 3. </w:t>
      </w:r>
      <w:r w:rsidR="003C13A6">
        <w:rPr>
          <w:sz w:val="24"/>
          <w:szCs w:val="24"/>
        </w:rPr>
        <w:t>The a</w:t>
      </w:r>
      <w:r w:rsidR="00231FFF">
        <w:rPr>
          <w:sz w:val="24"/>
          <w:szCs w:val="24"/>
        </w:rPr>
        <w:t>verage load for Unit 2 was 301.1 MW/day</w:t>
      </w:r>
      <w:r w:rsidR="008F006E">
        <w:rPr>
          <w:sz w:val="24"/>
          <w:szCs w:val="24"/>
        </w:rPr>
        <w:t xml:space="preserve">, </w:t>
      </w:r>
      <w:r w:rsidR="0028490A">
        <w:rPr>
          <w:sz w:val="24"/>
          <w:szCs w:val="24"/>
        </w:rPr>
        <w:t>and 453.7</w:t>
      </w:r>
      <w:r w:rsidR="008F006E">
        <w:rPr>
          <w:sz w:val="24"/>
          <w:szCs w:val="24"/>
        </w:rPr>
        <w:t xml:space="preserve"> MW/day</w:t>
      </w:r>
      <w:r w:rsidR="003C13A6" w:rsidRPr="003C13A6">
        <w:rPr>
          <w:sz w:val="24"/>
          <w:szCs w:val="24"/>
        </w:rPr>
        <w:t xml:space="preserve"> </w:t>
      </w:r>
      <w:r w:rsidR="003C13A6">
        <w:rPr>
          <w:sz w:val="24"/>
          <w:szCs w:val="24"/>
        </w:rPr>
        <w:t>for Unit 4</w:t>
      </w:r>
      <w:r w:rsidR="008F006E">
        <w:rPr>
          <w:sz w:val="24"/>
          <w:szCs w:val="24"/>
        </w:rPr>
        <w:t xml:space="preserve">. The past three years </w:t>
      </w:r>
      <w:r w:rsidR="00090EA9">
        <w:rPr>
          <w:sz w:val="24"/>
          <w:szCs w:val="24"/>
        </w:rPr>
        <w:t>(2016</w:t>
      </w:r>
      <w:r w:rsidR="00F27A63">
        <w:rPr>
          <w:sz w:val="24"/>
          <w:szCs w:val="24"/>
        </w:rPr>
        <w:t>-</w:t>
      </w:r>
      <w:r w:rsidR="008F006E">
        <w:rPr>
          <w:sz w:val="24"/>
          <w:szCs w:val="24"/>
        </w:rPr>
        <w:t>2018</w:t>
      </w:r>
      <w:r w:rsidR="00090EA9">
        <w:rPr>
          <w:sz w:val="24"/>
          <w:szCs w:val="24"/>
        </w:rPr>
        <w:t xml:space="preserve">) show a decrease </w:t>
      </w:r>
      <w:r w:rsidR="008F006E">
        <w:rPr>
          <w:sz w:val="24"/>
          <w:szCs w:val="24"/>
        </w:rPr>
        <w:t xml:space="preserve">in emissions </w:t>
      </w:r>
      <w:r w:rsidR="00754557">
        <w:rPr>
          <w:sz w:val="24"/>
          <w:szCs w:val="24"/>
        </w:rPr>
        <w:t>when compared</w:t>
      </w:r>
      <w:r w:rsidR="008F006E">
        <w:rPr>
          <w:sz w:val="24"/>
          <w:szCs w:val="24"/>
        </w:rPr>
        <w:t xml:space="preserve"> to </w:t>
      </w:r>
      <w:r w:rsidR="00090EA9">
        <w:rPr>
          <w:sz w:val="24"/>
          <w:szCs w:val="24"/>
        </w:rPr>
        <w:t>the model</w:t>
      </w:r>
      <w:r w:rsidR="00591B30">
        <w:rPr>
          <w:sz w:val="24"/>
          <w:szCs w:val="24"/>
        </w:rPr>
        <w:t>ed</w:t>
      </w:r>
      <w:r w:rsidR="00090EA9">
        <w:rPr>
          <w:sz w:val="24"/>
          <w:szCs w:val="24"/>
        </w:rPr>
        <w:t xml:space="preserve"> years of 2013-2015. </w:t>
      </w:r>
      <w:r w:rsidR="00591B30">
        <w:rPr>
          <w:sz w:val="24"/>
          <w:szCs w:val="24"/>
        </w:rPr>
        <w:t>Also, the annual maxima for 2016</w:t>
      </w:r>
      <w:r w:rsidR="00771952">
        <w:rPr>
          <w:sz w:val="24"/>
          <w:szCs w:val="24"/>
        </w:rPr>
        <w:t>-</w:t>
      </w:r>
      <w:r w:rsidR="00754557">
        <w:rPr>
          <w:sz w:val="24"/>
          <w:szCs w:val="24"/>
        </w:rPr>
        <w:t xml:space="preserve">2018 as well as </w:t>
      </w:r>
      <w:r w:rsidR="00591B30">
        <w:rPr>
          <w:sz w:val="24"/>
          <w:szCs w:val="24"/>
        </w:rPr>
        <w:t>the 99</w:t>
      </w:r>
      <w:r w:rsidR="00591B30" w:rsidRPr="00591B30">
        <w:rPr>
          <w:sz w:val="24"/>
          <w:szCs w:val="24"/>
          <w:vertAlign w:val="superscript"/>
        </w:rPr>
        <w:t>th</w:t>
      </w:r>
      <w:r w:rsidR="00591B30">
        <w:rPr>
          <w:sz w:val="24"/>
          <w:szCs w:val="24"/>
        </w:rPr>
        <w:t xml:space="preserve"> percentile of daily maxima for 2016</w:t>
      </w:r>
      <w:r w:rsidR="004E4EFC">
        <w:rPr>
          <w:sz w:val="24"/>
          <w:szCs w:val="24"/>
        </w:rPr>
        <w:t>-</w:t>
      </w:r>
      <w:r w:rsidR="00754557">
        <w:rPr>
          <w:sz w:val="24"/>
          <w:szCs w:val="24"/>
        </w:rPr>
        <w:t xml:space="preserve">2018 </w:t>
      </w:r>
      <w:r w:rsidR="00591B30">
        <w:rPr>
          <w:sz w:val="24"/>
          <w:szCs w:val="24"/>
        </w:rPr>
        <w:t>show significant decreases from the modeled years of 2013-2015.</w:t>
      </w:r>
    </w:p>
    <w:p w14:paraId="743260A5" w14:textId="77777777" w:rsidR="00090EA9" w:rsidRPr="00C913AE" w:rsidRDefault="00090EA9" w:rsidP="000F278E">
      <w:pPr>
        <w:spacing w:after="0"/>
      </w:pPr>
    </w:p>
    <w:p w14:paraId="4BB29FD6" w14:textId="4E3C11E4" w:rsidR="00D3738D" w:rsidRDefault="0043039F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addition to annual trends shown by the CEMS data</w:t>
      </w:r>
      <w:r w:rsidR="00033F65">
        <w:rPr>
          <w:sz w:val="24"/>
          <w:szCs w:val="24"/>
        </w:rPr>
        <w:t xml:space="preserve"> in Table 1 above</w:t>
      </w:r>
      <w:r>
        <w:rPr>
          <w:sz w:val="24"/>
          <w:szCs w:val="24"/>
        </w:rPr>
        <w:t>, total SO</w:t>
      </w:r>
      <w:r w:rsidRPr="0043039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data submitted </w:t>
      </w:r>
      <w:r w:rsidR="00DA414F">
        <w:rPr>
          <w:sz w:val="24"/>
          <w:szCs w:val="24"/>
        </w:rPr>
        <w:t xml:space="preserve">annually </w:t>
      </w:r>
      <w:r>
        <w:rPr>
          <w:sz w:val="24"/>
          <w:szCs w:val="24"/>
        </w:rPr>
        <w:t xml:space="preserve">to NMED and EPA show </w:t>
      </w:r>
      <w:r w:rsidR="00681149">
        <w:rPr>
          <w:sz w:val="24"/>
          <w:szCs w:val="24"/>
        </w:rPr>
        <w:t>a similar trend.</w:t>
      </w:r>
      <w:r w:rsidR="000605A2">
        <w:rPr>
          <w:sz w:val="24"/>
          <w:szCs w:val="24"/>
        </w:rPr>
        <w:t xml:space="preserve"> </w:t>
      </w:r>
      <w:r w:rsidR="00DA414F">
        <w:rPr>
          <w:sz w:val="24"/>
          <w:szCs w:val="24"/>
        </w:rPr>
        <w:t xml:space="preserve">This trend is shown in Table 2, below. </w:t>
      </w:r>
      <w:r w:rsidR="00BC3229">
        <w:rPr>
          <w:sz w:val="24"/>
          <w:szCs w:val="24"/>
        </w:rPr>
        <w:t xml:space="preserve">Emissions increased in </w:t>
      </w:r>
      <w:r w:rsidR="00681149">
        <w:rPr>
          <w:sz w:val="24"/>
          <w:szCs w:val="24"/>
        </w:rPr>
        <w:t>2017</w:t>
      </w:r>
      <w:r w:rsidR="00C92F30">
        <w:rPr>
          <w:sz w:val="24"/>
          <w:szCs w:val="24"/>
        </w:rPr>
        <w:t>, comparted to</w:t>
      </w:r>
      <w:r w:rsidR="00681149">
        <w:rPr>
          <w:sz w:val="24"/>
          <w:szCs w:val="24"/>
        </w:rPr>
        <w:t xml:space="preserve"> 2016 emissions</w:t>
      </w:r>
      <w:r w:rsidR="00AB52B2">
        <w:rPr>
          <w:sz w:val="24"/>
          <w:szCs w:val="24"/>
        </w:rPr>
        <w:t xml:space="preserve"> due to increased </w:t>
      </w:r>
      <w:r w:rsidR="00845A7B">
        <w:rPr>
          <w:sz w:val="24"/>
          <w:szCs w:val="24"/>
        </w:rPr>
        <w:t>operational efficiencies</w:t>
      </w:r>
      <w:r w:rsidR="00681149">
        <w:rPr>
          <w:sz w:val="24"/>
          <w:szCs w:val="24"/>
        </w:rPr>
        <w:t>; however, both 2016 and</w:t>
      </w:r>
      <w:r w:rsidR="000605A2">
        <w:rPr>
          <w:sz w:val="24"/>
          <w:szCs w:val="24"/>
        </w:rPr>
        <w:t xml:space="preserve"> 2018 </w:t>
      </w:r>
      <w:r w:rsidR="00681149">
        <w:rPr>
          <w:sz w:val="24"/>
          <w:szCs w:val="24"/>
        </w:rPr>
        <w:t xml:space="preserve">are below 2015 levels, the lowest </w:t>
      </w:r>
      <w:r w:rsidR="000605A2">
        <w:rPr>
          <w:sz w:val="24"/>
          <w:szCs w:val="24"/>
        </w:rPr>
        <w:t xml:space="preserve">of the </w:t>
      </w:r>
      <w:r w:rsidR="00681149">
        <w:rPr>
          <w:sz w:val="24"/>
          <w:szCs w:val="24"/>
        </w:rPr>
        <w:t xml:space="preserve">levels </w:t>
      </w:r>
      <w:r w:rsidR="004A7FC4">
        <w:rPr>
          <w:sz w:val="24"/>
          <w:szCs w:val="24"/>
        </w:rPr>
        <w:t xml:space="preserve">for </w:t>
      </w:r>
      <w:r w:rsidR="00681149">
        <w:rPr>
          <w:sz w:val="24"/>
          <w:szCs w:val="24"/>
        </w:rPr>
        <w:t xml:space="preserve">the modeled years. </w:t>
      </w:r>
      <w:r w:rsidR="000605A2">
        <w:rPr>
          <w:sz w:val="24"/>
          <w:szCs w:val="24"/>
        </w:rPr>
        <w:t xml:space="preserve"> </w:t>
      </w:r>
    </w:p>
    <w:p w14:paraId="395D7C25" w14:textId="47DAC83C" w:rsidR="00F43DD5" w:rsidRDefault="00F43DD5">
      <w:r>
        <w:br w:type="page"/>
      </w:r>
    </w:p>
    <w:p w14:paraId="2F407718" w14:textId="77777777" w:rsidR="00DB3646" w:rsidRPr="00C913AE" w:rsidRDefault="00DB3646" w:rsidP="000F278E">
      <w:pPr>
        <w:spacing w:after="0"/>
      </w:pPr>
    </w:p>
    <w:p w14:paraId="1862347D" w14:textId="0F5972E8" w:rsidR="0043039F" w:rsidRDefault="0043039F" w:rsidP="000F27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Table 2: </w:t>
      </w:r>
      <w:r>
        <w:rPr>
          <w:sz w:val="24"/>
          <w:szCs w:val="24"/>
        </w:rPr>
        <w:t>Total annual SO</w:t>
      </w:r>
      <w:r w:rsidRPr="008A0FA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by year</w:t>
      </w:r>
      <w:r w:rsidR="00526054">
        <w:rPr>
          <w:rStyle w:val="FootnoteReference"/>
          <w:sz w:val="24"/>
          <w:szCs w:val="24"/>
        </w:rPr>
        <w:footnoteReference w:id="4"/>
      </w:r>
      <w:r>
        <w:rPr>
          <w:sz w:val="24"/>
          <w:szCs w:val="24"/>
        </w:rPr>
        <w:t>.</w:t>
      </w:r>
      <w:r w:rsidR="00591B3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082"/>
        <w:gridCol w:w="2340"/>
      </w:tblGrid>
      <w:tr w:rsidR="0043039F" w14:paraId="114A7482" w14:textId="77777777" w:rsidTr="0043039F">
        <w:tc>
          <w:tcPr>
            <w:tcW w:w="703" w:type="dxa"/>
          </w:tcPr>
          <w:p w14:paraId="0A845FA1" w14:textId="77777777" w:rsidR="0043039F" w:rsidRPr="0043039F" w:rsidRDefault="0043039F" w:rsidP="000F278E">
            <w:pPr>
              <w:rPr>
                <w:b/>
                <w:sz w:val="24"/>
                <w:szCs w:val="24"/>
              </w:rPr>
            </w:pPr>
            <w:r w:rsidRPr="0043039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082" w:type="dxa"/>
          </w:tcPr>
          <w:p w14:paraId="13554A28" w14:textId="77777777" w:rsidR="0043039F" w:rsidRPr="0043039F" w:rsidRDefault="0043039F" w:rsidP="000F278E">
            <w:pPr>
              <w:rPr>
                <w:b/>
                <w:sz w:val="24"/>
                <w:szCs w:val="24"/>
              </w:rPr>
            </w:pPr>
            <w:r w:rsidRPr="0043039F">
              <w:rPr>
                <w:b/>
                <w:sz w:val="24"/>
                <w:szCs w:val="24"/>
              </w:rPr>
              <w:t>Total SO</w:t>
            </w:r>
            <w:r w:rsidRPr="00526054">
              <w:rPr>
                <w:b/>
                <w:sz w:val="24"/>
                <w:szCs w:val="24"/>
                <w:vertAlign w:val="subscript"/>
              </w:rPr>
              <w:t>2</w:t>
            </w:r>
            <w:r w:rsidRPr="0043039F">
              <w:rPr>
                <w:b/>
                <w:sz w:val="24"/>
                <w:szCs w:val="24"/>
              </w:rPr>
              <w:t xml:space="preserve"> emissions (tons)</w:t>
            </w:r>
          </w:p>
        </w:tc>
        <w:tc>
          <w:tcPr>
            <w:tcW w:w="2340" w:type="dxa"/>
          </w:tcPr>
          <w:p w14:paraId="4A0A8984" w14:textId="77777777" w:rsidR="0043039F" w:rsidRPr="0043039F" w:rsidRDefault="0043039F" w:rsidP="000F278E">
            <w:pPr>
              <w:rPr>
                <w:b/>
                <w:sz w:val="24"/>
                <w:szCs w:val="24"/>
              </w:rPr>
            </w:pPr>
            <w:r w:rsidRPr="0043039F">
              <w:rPr>
                <w:b/>
                <w:sz w:val="24"/>
                <w:szCs w:val="24"/>
              </w:rPr>
              <w:t>Change in Total SO</w:t>
            </w:r>
            <w:r w:rsidRPr="00526054">
              <w:rPr>
                <w:b/>
                <w:sz w:val="24"/>
                <w:szCs w:val="24"/>
                <w:vertAlign w:val="subscript"/>
              </w:rPr>
              <w:t xml:space="preserve">2 </w:t>
            </w:r>
            <w:r w:rsidRPr="0043039F">
              <w:rPr>
                <w:b/>
                <w:sz w:val="24"/>
                <w:szCs w:val="24"/>
              </w:rPr>
              <w:t>emissions from previous year (tons)</w:t>
            </w:r>
          </w:p>
        </w:tc>
      </w:tr>
      <w:tr w:rsidR="0043039F" w14:paraId="3147DBF5" w14:textId="77777777" w:rsidTr="0043039F">
        <w:tc>
          <w:tcPr>
            <w:tcW w:w="703" w:type="dxa"/>
          </w:tcPr>
          <w:p w14:paraId="706453C0" w14:textId="77777777" w:rsidR="0043039F" w:rsidRDefault="0043039F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82" w:type="dxa"/>
          </w:tcPr>
          <w:p w14:paraId="53EDD340" w14:textId="2FB497E2" w:rsidR="0043039F" w:rsidRDefault="00DA414F" w:rsidP="0059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6075.9</w:t>
            </w:r>
          </w:p>
        </w:tc>
        <w:tc>
          <w:tcPr>
            <w:tcW w:w="2340" w:type="dxa"/>
          </w:tcPr>
          <w:p w14:paraId="65CE2AAB" w14:textId="77777777" w:rsidR="0043039F" w:rsidRDefault="0043039F" w:rsidP="00F82C87">
            <w:pPr>
              <w:jc w:val="right"/>
              <w:rPr>
                <w:sz w:val="24"/>
                <w:szCs w:val="24"/>
              </w:rPr>
            </w:pPr>
          </w:p>
        </w:tc>
      </w:tr>
      <w:tr w:rsidR="0043039F" w14:paraId="508BF72B" w14:textId="77777777" w:rsidTr="0043039F">
        <w:tc>
          <w:tcPr>
            <w:tcW w:w="703" w:type="dxa"/>
          </w:tcPr>
          <w:p w14:paraId="2CCE06D2" w14:textId="77777777" w:rsidR="0043039F" w:rsidRDefault="0043039F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082" w:type="dxa"/>
          </w:tcPr>
          <w:p w14:paraId="76E85E55" w14:textId="3E339650" w:rsidR="0043039F" w:rsidRDefault="00DA414F" w:rsidP="0059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4989.4</w:t>
            </w:r>
          </w:p>
        </w:tc>
        <w:tc>
          <w:tcPr>
            <w:tcW w:w="2340" w:type="dxa"/>
          </w:tcPr>
          <w:p w14:paraId="4B77DDFC" w14:textId="3E7C84E9" w:rsidR="0043039F" w:rsidRDefault="00DA414F" w:rsidP="00F82C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357D5E">
              <w:rPr>
                <w:sz w:val="24"/>
                <w:szCs w:val="24"/>
              </w:rPr>
              <w:t>1086.5&gt;</w:t>
            </w:r>
          </w:p>
        </w:tc>
      </w:tr>
      <w:tr w:rsidR="0043039F" w14:paraId="3ED9AD2D" w14:textId="77777777" w:rsidTr="0043039F">
        <w:tc>
          <w:tcPr>
            <w:tcW w:w="703" w:type="dxa"/>
          </w:tcPr>
          <w:p w14:paraId="249618AB" w14:textId="77777777" w:rsidR="0043039F" w:rsidRDefault="0043039F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082" w:type="dxa"/>
          </w:tcPr>
          <w:p w14:paraId="2D3D2F1D" w14:textId="5C1A5367" w:rsidR="0043039F" w:rsidRDefault="00357D5E" w:rsidP="0059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</w:t>
            </w:r>
          </w:p>
        </w:tc>
        <w:tc>
          <w:tcPr>
            <w:tcW w:w="2340" w:type="dxa"/>
          </w:tcPr>
          <w:p w14:paraId="1F4540F5" w14:textId="41741822" w:rsidR="0043039F" w:rsidRDefault="00357D5E" w:rsidP="00F82C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&lt;1490.4&gt;</w:t>
            </w:r>
          </w:p>
        </w:tc>
      </w:tr>
      <w:tr w:rsidR="0043039F" w14:paraId="071E4367" w14:textId="77777777" w:rsidTr="0043039F">
        <w:tc>
          <w:tcPr>
            <w:tcW w:w="703" w:type="dxa"/>
          </w:tcPr>
          <w:p w14:paraId="3FD57DB3" w14:textId="77777777" w:rsidR="0043039F" w:rsidRDefault="0043039F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82" w:type="dxa"/>
          </w:tcPr>
          <w:p w14:paraId="7C441A82" w14:textId="78FE762C" w:rsidR="0043039F" w:rsidRDefault="00357D5E" w:rsidP="0059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2923.1</w:t>
            </w:r>
          </w:p>
        </w:tc>
        <w:tc>
          <w:tcPr>
            <w:tcW w:w="2340" w:type="dxa"/>
          </w:tcPr>
          <w:p w14:paraId="5BB9EF4D" w14:textId="1DCE9CC8" w:rsidR="0043039F" w:rsidRDefault="00357D5E" w:rsidP="00F82C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&lt;575.9&gt;</w:t>
            </w:r>
          </w:p>
        </w:tc>
      </w:tr>
      <w:tr w:rsidR="0043039F" w14:paraId="339A1481" w14:textId="77777777" w:rsidTr="00681149">
        <w:tc>
          <w:tcPr>
            <w:tcW w:w="703" w:type="dxa"/>
            <w:shd w:val="clear" w:color="auto" w:fill="auto"/>
          </w:tcPr>
          <w:p w14:paraId="2F0C8582" w14:textId="77777777" w:rsidR="0043039F" w:rsidRDefault="0043039F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082" w:type="dxa"/>
            <w:shd w:val="clear" w:color="auto" w:fill="auto"/>
          </w:tcPr>
          <w:p w14:paraId="0E6AA3D2" w14:textId="25114FEB" w:rsidR="0043039F" w:rsidRPr="00F82C87" w:rsidRDefault="00357D5E" w:rsidP="00DA4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4535.1</w:t>
            </w:r>
            <w:r w:rsidR="00123082">
              <w:rPr>
                <w:rStyle w:val="FootnoteReference"/>
                <w:sz w:val="24"/>
                <w:szCs w:val="24"/>
              </w:rPr>
              <w:footnoteReference w:id="5"/>
            </w:r>
          </w:p>
        </w:tc>
        <w:tc>
          <w:tcPr>
            <w:tcW w:w="2340" w:type="dxa"/>
            <w:shd w:val="clear" w:color="auto" w:fill="auto"/>
          </w:tcPr>
          <w:p w14:paraId="2C1B6FBB" w14:textId="1A6162A0" w:rsidR="0043039F" w:rsidRPr="00F82C87" w:rsidRDefault="00357D5E" w:rsidP="00F82C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</w:t>
            </w:r>
          </w:p>
        </w:tc>
      </w:tr>
      <w:tr w:rsidR="000605A2" w14:paraId="21918B46" w14:textId="77777777" w:rsidTr="00681149">
        <w:tc>
          <w:tcPr>
            <w:tcW w:w="703" w:type="dxa"/>
            <w:shd w:val="clear" w:color="auto" w:fill="auto"/>
          </w:tcPr>
          <w:p w14:paraId="39115BDA" w14:textId="77777777" w:rsidR="000605A2" w:rsidRDefault="000605A2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2" w:type="dxa"/>
            <w:shd w:val="clear" w:color="auto" w:fill="auto"/>
          </w:tcPr>
          <w:p w14:paraId="69FD7C81" w14:textId="77777777" w:rsidR="000605A2" w:rsidRDefault="000A3CEA" w:rsidP="00DA4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DA26A6">
              <w:rPr>
                <w:sz w:val="24"/>
                <w:szCs w:val="24"/>
              </w:rPr>
              <w:t>6.6</w:t>
            </w:r>
          </w:p>
        </w:tc>
        <w:tc>
          <w:tcPr>
            <w:tcW w:w="2340" w:type="dxa"/>
            <w:shd w:val="clear" w:color="auto" w:fill="auto"/>
          </w:tcPr>
          <w:p w14:paraId="3C9E578D" w14:textId="77777777" w:rsidR="000605A2" w:rsidRDefault="00A84212" w:rsidP="00F82C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357D5E">
              <w:rPr>
                <w:sz w:val="24"/>
                <w:szCs w:val="24"/>
              </w:rPr>
              <w:t>3288.5</w:t>
            </w:r>
            <w:r>
              <w:rPr>
                <w:sz w:val="24"/>
                <w:szCs w:val="24"/>
              </w:rPr>
              <w:t>&gt;</w:t>
            </w:r>
          </w:p>
        </w:tc>
      </w:tr>
    </w:tbl>
    <w:p w14:paraId="6798C81B" w14:textId="77777777" w:rsidR="00CD62D0" w:rsidRPr="00123082" w:rsidRDefault="00CD62D0" w:rsidP="000F278E">
      <w:pPr>
        <w:spacing w:after="0"/>
      </w:pPr>
    </w:p>
    <w:p w14:paraId="6B419F2E" w14:textId="581A4BD3" w:rsidR="008A0FA8" w:rsidRDefault="008A0FA8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initial attainment demonstration, modeling actual emissions</w:t>
      </w:r>
      <w:r w:rsidR="00C07321">
        <w:rPr>
          <w:sz w:val="24"/>
          <w:szCs w:val="24"/>
        </w:rPr>
        <w:t xml:space="preserve">, used </w:t>
      </w:r>
      <w:r w:rsidR="00A326C6">
        <w:rPr>
          <w:sz w:val="24"/>
          <w:szCs w:val="24"/>
        </w:rPr>
        <w:t xml:space="preserve">the </w:t>
      </w:r>
      <w:r w:rsidR="00C07321">
        <w:rPr>
          <w:sz w:val="24"/>
          <w:szCs w:val="24"/>
        </w:rPr>
        <w:t>average of the years 2013-2015.</w:t>
      </w:r>
      <w:r w:rsidR="00703D0C">
        <w:rPr>
          <w:sz w:val="24"/>
          <w:szCs w:val="24"/>
        </w:rPr>
        <w:t xml:space="preserve"> </w:t>
      </w:r>
      <w:r w:rsidR="00C07321">
        <w:rPr>
          <w:sz w:val="24"/>
          <w:szCs w:val="24"/>
        </w:rPr>
        <w:t>The tables above show that annual emissions</w:t>
      </w:r>
      <w:r w:rsidR="00E9291E">
        <w:rPr>
          <w:sz w:val="24"/>
          <w:szCs w:val="24"/>
        </w:rPr>
        <w:t xml:space="preserve"> (except for 2017)</w:t>
      </w:r>
      <w:r w:rsidR="00C07321">
        <w:rPr>
          <w:sz w:val="24"/>
          <w:szCs w:val="24"/>
        </w:rPr>
        <w:t xml:space="preserve">, average hourly emissions, maximum emissions and </w:t>
      </w:r>
      <w:r w:rsidR="00572C70">
        <w:rPr>
          <w:sz w:val="24"/>
          <w:szCs w:val="24"/>
        </w:rPr>
        <w:t>99</w:t>
      </w:r>
      <w:r w:rsidR="00572C70" w:rsidRPr="00572C70">
        <w:rPr>
          <w:sz w:val="24"/>
          <w:szCs w:val="24"/>
          <w:vertAlign w:val="superscript"/>
        </w:rPr>
        <w:t>th</w:t>
      </w:r>
      <w:r w:rsidR="00572C70">
        <w:rPr>
          <w:sz w:val="24"/>
          <w:szCs w:val="24"/>
        </w:rPr>
        <w:t xml:space="preserve"> percentile daily maxima of</w:t>
      </w:r>
      <w:r w:rsidR="00C07321">
        <w:rPr>
          <w:sz w:val="24"/>
          <w:szCs w:val="24"/>
        </w:rPr>
        <w:t xml:space="preserve"> hourly emissions for 2016</w:t>
      </w:r>
      <w:r w:rsidR="00AE13B4">
        <w:rPr>
          <w:sz w:val="24"/>
          <w:szCs w:val="24"/>
        </w:rPr>
        <w:t>-</w:t>
      </w:r>
      <w:r w:rsidR="00A326C6">
        <w:rPr>
          <w:sz w:val="24"/>
          <w:szCs w:val="24"/>
        </w:rPr>
        <w:t xml:space="preserve">2018 </w:t>
      </w:r>
      <w:r w:rsidR="00C07321">
        <w:rPr>
          <w:sz w:val="24"/>
          <w:szCs w:val="24"/>
        </w:rPr>
        <w:t>are lower than each year modeled.</w:t>
      </w:r>
      <w:r w:rsidR="00703D0C">
        <w:rPr>
          <w:sz w:val="24"/>
          <w:szCs w:val="24"/>
        </w:rPr>
        <w:t xml:space="preserve"> </w:t>
      </w:r>
      <w:r w:rsidR="00077297">
        <w:rPr>
          <w:sz w:val="24"/>
          <w:szCs w:val="24"/>
        </w:rPr>
        <w:t>To compare trends</w:t>
      </w:r>
      <w:r w:rsidR="00572C70">
        <w:rPr>
          <w:sz w:val="24"/>
          <w:szCs w:val="24"/>
        </w:rPr>
        <w:t xml:space="preserve"> </w:t>
      </w:r>
      <w:r w:rsidR="00077297">
        <w:rPr>
          <w:sz w:val="24"/>
          <w:szCs w:val="24"/>
        </w:rPr>
        <w:t>since the modeling</w:t>
      </w:r>
      <w:r w:rsidR="001B3565">
        <w:rPr>
          <w:sz w:val="24"/>
          <w:szCs w:val="24"/>
        </w:rPr>
        <w:t xml:space="preserve"> was performed</w:t>
      </w:r>
      <w:r w:rsidR="00077297">
        <w:rPr>
          <w:sz w:val="24"/>
          <w:szCs w:val="24"/>
        </w:rPr>
        <w:t xml:space="preserve">, </w:t>
      </w:r>
      <w:r w:rsidR="00C07321">
        <w:rPr>
          <w:sz w:val="24"/>
          <w:szCs w:val="24"/>
        </w:rPr>
        <w:t>T</w:t>
      </w:r>
      <w:r w:rsidR="00FA758A">
        <w:rPr>
          <w:sz w:val="24"/>
          <w:szCs w:val="24"/>
        </w:rPr>
        <w:t>able 3</w:t>
      </w:r>
      <w:r w:rsidR="00AB52B2">
        <w:rPr>
          <w:sz w:val="24"/>
          <w:szCs w:val="24"/>
        </w:rPr>
        <w:t>,</w:t>
      </w:r>
      <w:r w:rsidR="00FA758A">
        <w:rPr>
          <w:sz w:val="24"/>
          <w:szCs w:val="24"/>
        </w:rPr>
        <w:t xml:space="preserve"> below</w:t>
      </w:r>
      <w:r w:rsidR="00AB52B2">
        <w:rPr>
          <w:sz w:val="24"/>
          <w:szCs w:val="24"/>
        </w:rPr>
        <w:t>,</w:t>
      </w:r>
      <w:r w:rsidR="00C07321">
        <w:rPr>
          <w:sz w:val="24"/>
          <w:szCs w:val="24"/>
        </w:rPr>
        <w:t xml:space="preserve"> summarizes the 3-year average</w:t>
      </w:r>
      <w:r w:rsidR="00270EB3">
        <w:rPr>
          <w:sz w:val="24"/>
          <w:szCs w:val="24"/>
        </w:rPr>
        <w:t>s for each of these parameters.</w:t>
      </w:r>
    </w:p>
    <w:p w14:paraId="4F848CB7" w14:textId="77777777" w:rsidR="00FA758A" w:rsidRPr="00123082" w:rsidRDefault="00FA758A" w:rsidP="000F278E">
      <w:pPr>
        <w:spacing w:after="0"/>
      </w:pPr>
    </w:p>
    <w:p w14:paraId="2B171CA0" w14:textId="697CC3BD" w:rsidR="00FA758A" w:rsidRDefault="00FA758A" w:rsidP="000F27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Table 3: </w:t>
      </w:r>
      <w:r>
        <w:rPr>
          <w:sz w:val="24"/>
          <w:szCs w:val="24"/>
        </w:rPr>
        <w:t>Trends in 3-year averages.</w:t>
      </w:r>
      <w:r w:rsidR="00681149">
        <w:rPr>
          <w:sz w:val="24"/>
          <w:szCs w:val="24"/>
        </w:rPr>
        <w:t xml:space="preserve"> Note that 2014-</w:t>
      </w:r>
      <w:r w:rsidR="00C168E9">
        <w:rPr>
          <w:sz w:val="24"/>
          <w:szCs w:val="24"/>
        </w:rPr>
        <w:t>2016,</w:t>
      </w:r>
      <w:r w:rsidR="00A326C6">
        <w:rPr>
          <w:sz w:val="24"/>
          <w:szCs w:val="24"/>
        </w:rPr>
        <w:t xml:space="preserve"> </w:t>
      </w:r>
      <w:r w:rsidR="00681149">
        <w:rPr>
          <w:sz w:val="24"/>
          <w:szCs w:val="24"/>
        </w:rPr>
        <w:t xml:space="preserve">2015-2017 </w:t>
      </w:r>
      <w:r w:rsidR="00A326C6">
        <w:rPr>
          <w:sz w:val="24"/>
          <w:szCs w:val="24"/>
        </w:rPr>
        <w:t xml:space="preserve">and 2016-2018 </w:t>
      </w:r>
      <w:r w:rsidR="00681149">
        <w:rPr>
          <w:sz w:val="24"/>
          <w:szCs w:val="24"/>
        </w:rPr>
        <w:t>averages are significantly below the modeled years’ (2013-2015) average.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77"/>
        <w:gridCol w:w="2144"/>
        <w:gridCol w:w="2145"/>
        <w:gridCol w:w="2144"/>
        <w:gridCol w:w="2145"/>
      </w:tblGrid>
      <w:tr w:rsidR="000E0CA6" w14:paraId="4F68F684" w14:textId="77777777" w:rsidTr="00572C70">
        <w:tc>
          <w:tcPr>
            <w:tcW w:w="777" w:type="dxa"/>
          </w:tcPr>
          <w:p w14:paraId="30B1FF4A" w14:textId="77777777" w:rsidR="000E0CA6" w:rsidRPr="000E0CA6" w:rsidRDefault="000E0CA6" w:rsidP="000F278E">
            <w:pPr>
              <w:rPr>
                <w:b/>
                <w:sz w:val="24"/>
                <w:szCs w:val="24"/>
              </w:rPr>
            </w:pPr>
            <w:r w:rsidRPr="000E0CA6">
              <w:rPr>
                <w:b/>
                <w:sz w:val="24"/>
                <w:szCs w:val="24"/>
              </w:rPr>
              <w:t>Years</w:t>
            </w:r>
          </w:p>
        </w:tc>
        <w:tc>
          <w:tcPr>
            <w:tcW w:w="2144" w:type="dxa"/>
          </w:tcPr>
          <w:p w14:paraId="379B9991" w14:textId="77777777" w:rsidR="000E0CA6" w:rsidRPr="000E0CA6" w:rsidRDefault="000E0CA6" w:rsidP="000F278E">
            <w:pPr>
              <w:rPr>
                <w:b/>
                <w:sz w:val="24"/>
                <w:szCs w:val="24"/>
              </w:rPr>
            </w:pPr>
            <w:r w:rsidRPr="000E0CA6">
              <w:rPr>
                <w:b/>
                <w:sz w:val="24"/>
                <w:szCs w:val="24"/>
              </w:rPr>
              <w:t>Average</w:t>
            </w:r>
            <w:r w:rsidR="00572C70">
              <w:rPr>
                <w:b/>
                <w:sz w:val="24"/>
                <w:szCs w:val="24"/>
              </w:rPr>
              <w:t xml:space="preserve"> 1-hr SO</w:t>
            </w:r>
            <w:r w:rsidR="00572C70" w:rsidRPr="00572C70">
              <w:rPr>
                <w:b/>
                <w:sz w:val="24"/>
                <w:szCs w:val="24"/>
                <w:vertAlign w:val="subscript"/>
              </w:rPr>
              <w:t>2</w:t>
            </w:r>
            <w:r w:rsidR="00572C70">
              <w:rPr>
                <w:b/>
                <w:sz w:val="24"/>
                <w:szCs w:val="24"/>
              </w:rPr>
              <w:t xml:space="preserve"> (lbs</w:t>
            </w:r>
            <w:r w:rsidR="00AF3BFE">
              <w:rPr>
                <w:b/>
                <w:sz w:val="24"/>
                <w:szCs w:val="24"/>
              </w:rPr>
              <w:t>.</w:t>
            </w:r>
            <w:r w:rsidR="00572C70">
              <w:rPr>
                <w:b/>
                <w:sz w:val="24"/>
                <w:szCs w:val="24"/>
              </w:rPr>
              <w:t>/hr</w:t>
            </w:r>
            <w:r w:rsidR="00AF3BFE">
              <w:rPr>
                <w:b/>
                <w:sz w:val="24"/>
                <w:szCs w:val="24"/>
              </w:rPr>
              <w:t>.</w:t>
            </w:r>
            <w:r w:rsidR="00572C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14:paraId="675F27CA" w14:textId="77777777" w:rsidR="000E0CA6" w:rsidRPr="000E0CA6" w:rsidRDefault="00CD2396" w:rsidP="000F2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1F39CB">
              <w:rPr>
                <w:b/>
                <w:sz w:val="24"/>
                <w:szCs w:val="24"/>
              </w:rPr>
              <w:t xml:space="preserve">verage </w:t>
            </w:r>
            <w:r w:rsidR="00572C70">
              <w:rPr>
                <w:b/>
                <w:sz w:val="24"/>
                <w:szCs w:val="24"/>
              </w:rPr>
              <w:t>Maximum daily 1-hr SO</w:t>
            </w:r>
            <w:r w:rsidR="00572C70" w:rsidRPr="00572C70">
              <w:rPr>
                <w:b/>
                <w:sz w:val="24"/>
                <w:szCs w:val="24"/>
                <w:vertAlign w:val="subscript"/>
              </w:rPr>
              <w:t>2</w:t>
            </w:r>
            <w:r w:rsidR="00572C70">
              <w:rPr>
                <w:b/>
                <w:sz w:val="24"/>
                <w:szCs w:val="24"/>
              </w:rPr>
              <w:t xml:space="preserve"> (lbs</w:t>
            </w:r>
            <w:r w:rsidR="00AF3BFE">
              <w:rPr>
                <w:b/>
                <w:sz w:val="24"/>
                <w:szCs w:val="24"/>
              </w:rPr>
              <w:t>.</w:t>
            </w:r>
            <w:r w:rsidR="00572C70">
              <w:rPr>
                <w:b/>
                <w:sz w:val="24"/>
                <w:szCs w:val="24"/>
              </w:rPr>
              <w:t>/hr</w:t>
            </w:r>
            <w:r w:rsidR="00AF3BFE">
              <w:rPr>
                <w:b/>
                <w:sz w:val="24"/>
                <w:szCs w:val="24"/>
              </w:rPr>
              <w:t>.</w:t>
            </w:r>
            <w:r w:rsidR="00572C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4" w:type="dxa"/>
          </w:tcPr>
          <w:p w14:paraId="48866199" w14:textId="77777777" w:rsidR="000E0CA6" w:rsidRPr="000E0CA6" w:rsidRDefault="001F39CB" w:rsidP="000F2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Average </w:t>
            </w:r>
            <w:r w:rsidR="00572C70">
              <w:rPr>
                <w:b/>
                <w:sz w:val="24"/>
                <w:szCs w:val="24"/>
              </w:rPr>
              <w:t>99</w:t>
            </w:r>
            <w:r w:rsidR="00572C70" w:rsidRPr="00572C70">
              <w:rPr>
                <w:b/>
                <w:sz w:val="24"/>
                <w:szCs w:val="24"/>
                <w:vertAlign w:val="superscript"/>
              </w:rPr>
              <w:t>th</w:t>
            </w:r>
            <w:r w:rsidR="00572C70">
              <w:rPr>
                <w:b/>
                <w:sz w:val="24"/>
                <w:szCs w:val="24"/>
              </w:rPr>
              <w:t xml:space="preserve"> percentile maximum 1-hr SO</w:t>
            </w:r>
            <w:r w:rsidR="00572C70" w:rsidRPr="00572C70">
              <w:rPr>
                <w:b/>
                <w:sz w:val="24"/>
                <w:szCs w:val="24"/>
                <w:vertAlign w:val="subscript"/>
              </w:rPr>
              <w:t>2</w:t>
            </w:r>
            <w:r w:rsidR="00572C70">
              <w:rPr>
                <w:b/>
                <w:sz w:val="24"/>
                <w:szCs w:val="24"/>
              </w:rPr>
              <w:t xml:space="preserve"> (lbs</w:t>
            </w:r>
            <w:r w:rsidR="00AF3BFE">
              <w:rPr>
                <w:b/>
                <w:sz w:val="24"/>
                <w:szCs w:val="24"/>
              </w:rPr>
              <w:t>.</w:t>
            </w:r>
            <w:r w:rsidR="00572C70">
              <w:rPr>
                <w:b/>
                <w:sz w:val="24"/>
                <w:szCs w:val="24"/>
              </w:rPr>
              <w:t>/hr</w:t>
            </w:r>
            <w:r w:rsidR="00AF3BFE">
              <w:rPr>
                <w:b/>
                <w:sz w:val="24"/>
                <w:szCs w:val="24"/>
              </w:rPr>
              <w:t>.</w:t>
            </w:r>
            <w:r w:rsidR="00572C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14:paraId="665B1607" w14:textId="20929428" w:rsidR="000E0CA6" w:rsidRPr="000E0CA6" w:rsidRDefault="009B2A35" w:rsidP="000F2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Average </w:t>
            </w:r>
            <w:r w:rsidRPr="000E0CA6">
              <w:rPr>
                <w:b/>
                <w:sz w:val="24"/>
                <w:szCs w:val="24"/>
              </w:rPr>
              <w:t xml:space="preserve">total </w:t>
            </w:r>
            <w:r w:rsidR="000E0CA6" w:rsidRPr="000E0CA6">
              <w:rPr>
                <w:b/>
                <w:sz w:val="24"/>
                <w:szCs w:val="24"/>
              </w:rPr>
              <w:t>SO</w:t>
            </w:r>
            <w:r w:rsidR="000E0CA6" w:rsidRPr="000E0CA6">
              <w:rPr>
                <w:b/>
                <w:sz w:val="24"/>
                <w:szCs w:val="24"/>
                <w:vertAlign w:val="subscript"/>
              </w:rPr>
              <w:t xml:space="preserve">2 </w:t>
            </w:r>
            <w:r w:rsidR="000E0CA6" w:rsidRPr="000E0CA6">
              <w:rPr>
                <w:b/>
                <w:sz w:val="24"/>
                <w:szCs w:val="24"/>
              </w:rPr>
              <w:t>(</w:t>
            </w:r>
            <w:r w:rsidR="00572C70">
              <w:rPr>
                <w:b/>
                <w:sz w:val="24"/>
                <w:szCs w:val="24"/>
              </w:rPr>
              <w:t>tons/year</w:t>
            </w:r>
            <w:r w:rsidR="000E0CA6" w:rsidRPr="000E0CA6">
              <w:rPr>
                <w:b/>
                <w:sz w:val="24"/>
                <w:szCs w:val="24"/>
              </w:rPr>
              <w:t>)</w:t>
            </w:r>
            <w:r w:rsidR="000240BC">
              <w:rPr>
                <w:rStyle w:val="FootnoteReference"/>
                <w:b/>
                <w:sz w:val="24"/>
                <w:szCs w:val="24"/>
              </w:rPr>
              <w:footnoteReference w:id="6"/>
            </w:r>
          </w:p>
        </w:tc>
      </w:tr>
      <w:tr w:rsidR="000E0CA6" w14:paraId="3F289B32" w14:textId="77777777" w:rsidTr="00572C70">
        <w:tc>
          <w:tcPr>
            <w:tcW w:w="777" w:type="dxa"/>
          </w:tcPr>
          <w:p w14:paraId="08C5F5FB" w14:textId="77777777" w:rsidR="000E0CA6" w:rsidRDefault="000E0CA6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</w:tc>
        <w:tc>
          <w:tcPr>
            <w:tcW w:w="2144" w:type="dxa"/>
          </w:tcPr>
          <w:p w14:paraId="2D7A515C" w14:textId="18742619" w:rsidR="000E0CA6" w:rsidRDefault="009C4426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</w:t>
            </w:r>
            <w:r w:rsidR="002F63C1">
              <w:rPr>
                <w:sz w:val="24"/>
                <w:szCs w:val="24"/>
              </w:rPr>
              <w:t>.52</w:t>
            </w:r>
            <w:r w:rsidR="00EE1037">
              <w:rPr>
                <w:rStyle w:val="FootnoteReference"/>
                <w:sz w:val="24"/>
                <w:szCs w:val="24"/>
              </w:rPr>
              <w:footnoteReference w:id="7"/>
            </w:r>
          </w:p>
        </w:tc>
        <w:tc>
          <w:tcPr>
            <w:tcW w:w="2145" w:type="dxa"/>
          </w:tcPr>
          <w:p w14:paraId="48901295" w14:textId="77777777" w:rsidR="000E0CA6" w:rsidRDefault="000E0CA6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5732.79</w:t>
            </w:r>
          </w:p>
        </w:tc>
        <w:tc>
          <w:tcPr>
            <w:tcW w:w="2144" w:type="dxa"/>
          </w:tcPr>
          <w:p w14:paraId="5A25C800" w14:textId="77777777" w:rsidR="000E0CA6" w:rsidRDefault="000E0CA6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4194.39</w:t>
            </w:r>
          </w:p>
        </w:tc>
        <w:tc>
          <w:tcPr>
            <w:tcW w:w="2145" w:type="dxa"/>
          </w:tcPr>
          <w:p w14:paraId="76769B16" w14:textId="0C3E9F1F" w:rsidR="000E0CA6" w:rsidRDefault="00E9291E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4854.</w:t>
            </w:r>
            <w:r w:rsidR="002352BB">
              <w:rPr>
                <w:sz w:val="24"/>
                <w:szCs w:val="24"/>
              </w:rPr>
              <w:t>77</w:t>
            </w:r>
          </w:p>
        </w:tc>
      </w:tr>
      <w:tr w:rsidR="000E0CA6" w14:paraId="1643130A" w14:textId="77777777" w:rsidTr="00572C70">
        <w:tc>
          <w:tcPr>
            <w:tcW w:w="777" w:type="dxa"/>
          </w:tcPr>
          <w:p w14:paraId="13D69EEA" w14:textId="77777777" w:rsidR="000E0CA6" w:rsidRDefault="000E0CA6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</w:tc>
        <w:tc>
          <w:tcPr>
            <w:tcW w:w="2144" w:type="dxa"/>
          </w:tcPr>
          <w:p w14:paraId="2B9B3101" w14:textId="77777777" w:rsidR="000E0CA6" w:rsidRDefault="000E0CA6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845.09</w:t>
            </w:r>
          </w:p>
        </w:tc>
        <w:tc>
          <w:tcPr>
            <w:tcW w:w="2145" w:type="dxa"/>
          </w:tcPr>
          <w:p w14:paraId="7BB3BD77" w14:textId="77777777" w:rsidR="000E0CA6" w:rsidRDefault="000E0CA6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5383.38</w:t>
            </w:r>
          </w:p>
        </w:tc>
        <w:tc>
          <w:tcPr>
            <w:tcW w:w="2144" w:type="dxa"/>
          </w:tcPr>
          <w:p w14:paraId="397870B9" w14:textId="77777777" w:rsidR="000E0CA6" w:rsidRDefault="000E0CA6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4009.87</w:t>
            </w:r>
          </w:p>
        </w:tc>
        <w:tc>
          <w:tcPr>
            <w:tcW w:w="2145" w:type="dxa"/>
          </w:tcPr>
          <w:p w14:paraId="5C8931A9" w14:textId="596B0DA6" w:rsidR="000E0CA6" w:rsidRDefault="00E9291E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3803.8</w:t>
            </w:r>
            <w:r w:rsidR="002352BB">
              <w:rPr>
                <w:sz w:val="24"/>
                <w:szCs w:val="24"/>
              </w:rPr>
              <w:t>3</w:t>
            </w:r>
          </w:p>
        </w:tc>
      </w:tr>
      <w:tr w:rsidR="000E0CA6" w14:paraId="38B46AF9" w14:textId="77777777" w:rsidTr="00572C70">
        <w:tc>
          <w:tcPr>
            <w:tcW w:w="777" w:type="dxa"/>
          </w:tcPr>
          <w:p w14:paraId="263E16AA" w14:textId="77777777" w:rsidR="000E0CA6" w:rsidRDefault="000E0CA6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2144" w:type="dxa"/>
          </w:tcPr>
          <w:p w14:paraId="36F83BCB" w14:textId="77777777" w:rsidR="000E0CA6" w:rsidRDefault="000E0CA6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708.72</w:t>
            </w:r>
          </w:p>
        </w:tc>
        <w:tc>
          <w:tcPr>
            <w:tcW w:w="2145" w:type="dxa"/>
          </w:tcPr>
          <w:p w14:paraId="6C1AB1E3" w14:textId="77777777" w:rsidR="000E0CA6" w:rsidRDefault="000E0CA6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4670.31</w:t>
            </w:r>
          </w:p>
        </w:tc>
        <w:tc>
          <w:tcPr>
            <w:tcW w:w="2144" w:type="dxa"/>
          </w:tcPr>
          <w:p w14:paraId="572734D2" w14:textId="77777777" w:rsidR="000E0CA6" w:rsidRDefault="000E0CA6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3733.63</w:t>
            </w:r>
          </w:p>
        </w:tc>
        <w:tc>
          <w:tcPr>
            <w:tcW w:w="2145" w:type="dxa"/>
            <w:shd w:val="clear" w:color="auto" w:fill="auto"/>
          </w:tcPr>
          <w:p w14:paraId="162230BC" w14:textId="7AF78BA4" w:rsidR="000E0CA6" w:rsidRPr="00681149" w:rsidRDefault="00E9291E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3652.4</w:t>
            </w:r>
          </w:p>
        </w:tc>
      </w:tr>
      <w:tr w:rsidR="00A326C6" w14:paraId="768A2AA5" w14:textId="77777777" w:rsidTr="00572C70">
        <w:tc>
          <w:tcPr>
            <w:tcW w:w="777" w:type="dxa"/>
          </w:tcPr>
          <w:p w14:paraId="7C78A1A7" w14:textId="77777777" w:rsidR="00A326C6" w:rsidRDefault="00A326C6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144" w:type="dxa"/>
          </w:tcPr>
          <w:p w14:paraId="3ADE83A5" w14:textId="77777777" w:rsidR="00A326C6" w:rsidRDefault="001F39CB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541.26</w:t>
            </w:r>
          </w:p>
        </w:tc>
        <w:tc>
          <w:tcPr>
            <w:tcW w:w="2145" w:type="dxa"/>
          </w:tcPr>
          <w:p w14:paraId="056D3413" w14:textId="77777777" w:rsidR="00A326C6" w:rsidRDefault="001F39CB" w:rsidP="000E0CA6">
            <w:pPr>
              <w:jc w:val="right"/>
              <w:rPr>
                <w:sz w:val="24"/>
                <w:szCs w:val="24"/>
              </w:rPr>
            </w:pPr>
            <w:r w:rsidRPr="001F39CB">
              <w:rPr>
                <w:sz w:val="24"/>
                <w:szCs w:val="24"/>
              </w:rPr>
              <w:t>3968.1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49737C4B" w14:textId="77777777" w:rsidR="00A326C6" w:rsidRDefault="001F39CB" w:rsidP="000E0CA6">
            <w:pPr>
              <w:jc w:val="right"/>
              <w:rPr>
                <w:sz w:val="24"/>
                <w:szCs w:val="24"/>
              </w:rPr>
            </w:pPr>
            <w:r w:rsidRPr="001F39CB">
              <w:rPr>
                <w:sz w:val="24"/>
                <w:szCs w:val="24"/>
              </w:rPr>
              <w:t>2645.04</w:t>
            </w:r>
          </w:p>
        </w:tc>
        <w:tc>
          <w:tcPr>
            <w:tcW w:w="2145" w:type="dxa"/>
            <w:shd w:val="clear" w:color="auto" w:fill="auto"/>
          </w:tcPr>
          <w:p w14:paraId="6E741658" w14:textId="77777777" w:rsidR="00A326C6" w:rsidRPr="00681149" w:rsidRDefault="00E9291E" w:rsidP="000E0C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2901.6</w:t>
            </w:r>
          </w:p>
        </w:tc>
      </w:tr>
    </w:tbl>
    <w:p w14:paraId="7C4FD8A2" w14:textId="77777777" w:rsidR="00270EB3" w:rsidRPr="00CD62D0" w:rsidRDefault="00270EB3" w:rsidP="00123082">
      <w:pPr>
        <w:spacing w:after="0" w:line="240" w:lineRule="auto"/>
      </w:pPr>
    </w:p>
    <w:p w14:paraId="1E36A8CD" w14:textId="77777777" w:rsidR="006B0DD8" w:rsidRDefault="006B0DD8" w:rsidP="001230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Monitoring Data</w:t>
      </w:r>
      <w:r w:rsidR="00E76F00">
        <w:rPr>
          <w:b/>
          <w:sz w:val="28"/>
          <w:szCs w:val="28"/>
        </w:rPr>
        <w:t xml:space="preserve"> Summary – San Juan Substation, NMED Monitor 1H</w:t>
      </w:r>
    </w:p>
    <w:p w14:paraId="31F69452" w14:textId="77777777" w:rsidR="00A27B10" w:rsidRPr="00123082" w:rsidRDefault="00A27B10" w:rsidP="00123082">
      <w:pPr>
        <w:spacing w:after="0" w:line="240" w:lineRule="auto"/>
        <w:rPr>
          <w:b/>
        </w:rPr>
      </w:pPr>
    </w:p>
    <w:p w14:paraId="5BA4CB14" w14:textId="5724697B" w:rsidR="00A27B10" w:rsidRDefault="00A27B10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>NMED operates an ambient air monitoring station</w:t>
      </w:r>
      <w:r w:rsidR="00E76F00">
        <w:rPr>
          <w:sz w:val="24"/>
          <w:szCs w:val="24"/>
        </w:rPr>
        <w:t xml:space="preserve"> </w:t>
      </w:r>
      <w:r w:rsidR="00AF3BFE">
        <w:rPr>
          <w:sz w:val="24"/>
          <w:szCs w:val="24"/>
        </w:rPr>
        <w:t>(</w:t>
      </w:r>
      <w:r w:rsidR="00E76F00">
        <w:rPr>
          <w:sz w:val="24"/>
          <w:szCs w:val="24"/>
        </w:rPr>
        <w:t>1H San Juan Substation</w:t>
      </w:r>
      <w:r w:rsidR="00AB52B2">
        <w:rPr>
          <w:sz w:val="24"/>
          <w:szCs w:val="24"/>
        </w:rPr>
        <w:t xml:space="preserve">, </w:t>
      </w:r>
      <w:r w:rsidR="00AB52B2" w:rsidRPr="00DD27F1">
        <w:rPr>
          <w:rFonts w:cstheme="minorHAnsi"/>
          <w:sz w:val="24"/>
          <w:szCs w:val="24"/>
        </w:rPr>
        <w:t>35-045-1005</w:t>
      </w:r>
      <w:r w:rsidR="00194FD2" w:rsidRPr="00DD27F1">
        <w:rPr>
          <w:rFonts w:cstheme="minorHAnsi"/>
          <w:sz w:val="24"/>
          <w:szCs w:val="24"/>
        </w:rPr>
        <w:t>)</w:t>
      </w:r>
      <w:r w:rsidR="00E76F00">
        <w:rPr>
          <w:sz w:val="24"/>
          <w:szCs w:val="24"/>
        </w:rPr>
        <w:t xml:space="preserve"> located at 36.79667 degrees latitude and </w:t>
      </w:r>
      <w:r w:rsidR="00E76F00" w:rsidRPr="00695A65">
        <w:rPr>
          <w:b/>
          <w:sz w:val="24"/>
          <w:szCs w:val="24"/>
        </w:rPr>
        <w:t>-</w:t>
      </w:r>
      <w:r w:rsidR="00E76F00">
        <w:rPr>
          <w:sz w:val="24"/>
          <w:szCs w:val="24"/>
        </w:rPr>
        <w:t>108.47250 degrees longitude,</w:t>
      </w:r>
      <w:r>
        <w:rPr>
          <w:sz w:val="24"/>
          <w:szCs w:val="24"/>
        </w:rPr>
        <w:t xml:space="preserve"> approximately </w:t>
      </w:r>
      <w:r w:rsidR="00780A98">
        <w:rPr>
          <w:sz w:val="24"/>
          <w:szCs w:val="24"/>
        </w:rPr>
        <w:t>2.34</w:t>
      </w:r>
      <w:r>
        <w:rPr>
          <w:sz w:val="24"/>
          <w:szCs w:val="24"/>
        </w:rPr>
        <w:t xml:space="preserve"> mile</w:t>
      </w:r>
      <w:r w:rsidR="00194FD2">
        <w:rPr>
          <w:sz w:val="24"/>
          <w:szCs w:val="24"/>
        </w:rPr>
        <w:t>s</w:t>
      </w:r>
      <w:r w:rsidR="00780A98">
        <w:rPr>
          <w:sz w:val="24"/>
          <w:szCs w:val="24"/>
        </w:rPr>
        <w:t xml:space="preserve"> </w:t>
      </w:r>
      <w:r w:rsidR="00F85CAB">
        <w:rPr>
          <w:sz w:val="24"/>
          <w:szCs w:val="24"/>
        </w:rPr>
        <w:t>nearly due west</w:t>
      </w:r>
      <w:r>
        <w:rPr>
          <w:sz w:val="24"/>
          <w:szCs w:val="24"/>
        </w:rPr>
        <w:t xml:space="preserve"> of </w:t>
      </w:r>
      <w:r w:rsidR="005000E4">
        <w:rPr>
          <w:sz w:val="24"/>
          <w:szCs w:val="24"/>
        </w:rPr>
        <w:t>SJGS</w:t>
      </w:r>
      <w:r>
        <w:rPr>
          <w:sz w:val="24"/>
          <w:szCs w:val="24"/>
        </w:rPr>
        <w:t>.</w:t>
      </w:r>
      <w:r w:rsidR="001E50EC">
        <w:rPr>
          <w:sz w:val="24"/>
          <w:szCs w:val="24"/>
        </w:rPr>
        <w:t xml:space="preserve"> </w:t>
      </w:r>
      <w:r w:rsidR="00BA2D0B">
        <w:rPr>
          <w:sz w:val="24"/>
          <w:szCs w:val="24"/>
        </w:rPr>
        <w:t xml:space="preserve">This monitor is the nearest ambient air monitor to SJGS. </w:t>
      </w:r>
      <w:r w:rsidR="001E50EC">
        <w:rPr>
          <w:sz w:val="24"/>
          <w:szCs w:val="24"/>
        </w:rPr>
        <w:t xml:space="preserve"> </w:t>
      </w:r>
      <w:r w:rsidR="00E76F00">
        <w:rPr>
          <w:sz w:val="24"/>
          <w:szCs w:val="24"/>
        </w:rPr>
        <w:t>See Figure 1</w:t>
      </w:r>
      <w:r w:rsidR="009F765E">
        <w:rPr>
          <w:sz w:val="24"/>
          <w:szCs w:val="24"/>
        </w:rPr>
        <w:t>,</w:t>
      </w:r>
      <w:r w:rsidR="00E76F00">
        <w:rPr>
          <w:sz w:val="24"/>
          <w:szCs w:val="24"/>
        </w:rPr>
        <w:t xml:space="preserve"> below.</w:t>
      </w:r>
    </w:p>
    <w:p w14:paraId="5C0FAE6F" w14:textId="77777777" w:rsidR="00780A98" w:rsidRPr="00096AE1" w:rsidRDefault="00780A98" w:rsidP="000F278E">
      <w:pPr>
        <w:spacing w:after="0"/>
      </w:pPr>
    </w:p>
    <w:p w14:paraId="60A3AEF1" w14:textId="77777777" w:rsidR="00E76F00" w:rsidRPr="00E76F00" w:rsidRDefault="00E76F00" w:rsidP="000F27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Figure 1: </w:t>
      </w:r>
      <w:r>
        <w:rPr>
          <w:sz w:val="24"/>
          <w:szCs w:val="24"/>
        </w:rPr>
        <w:t>Google Earth image calculating the distance between the San Juan Substation monitor and the stacks at San Juan Generating Station.</w:t>
      </w:r>
    </w:p>
    <w:p w14:paraId="027B2C7F" w14:textId="77777777" w:rsidR="00780A98" w:rsidRDefault="00780A98" w:rsidP="000F278E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17C52A4" wp14:editId="797B4726">
            <wp:extent cx="5943600" cy="1865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6A88D" w14:textId="77777777" w:rsidR="00E76F00" w:rsidRPr="00CD62D0" w:rsidRDefault="00E76F00" w:rsidP="000F278E">
      <w:pPr>
        <w:spacing w:after="0"/>
        <w:rPr>
          <w:sz w:val="16"/>
          <w:szCs w:val="16"/>
        </w:rPr>
      </w:pPr>
    </w:p>
    <w:p w14:paraId="5F5D0DB4" w14:textId="0FB269A8" w:rsidR="00FC0120" w:rsidRPr="00CD62D0" w:rsidRDefault="00E76F00" w:rsidP="000F278E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monitor is not located near enough to SJGS to be used for regulatory purposes</w:t>
      </w:r>
      <w:r w:rsidR="009F765E">
        <w:rPr>
          <w:sz w:val="24"/>
          <w:szCs w:val="24"/>
        </w:rPr>
        <w:t xml:space="preserve"> related to the </w:t>
      </w:r>
      <w:r w:rsidR="001E50EC">
        <w:rPr>
          <w:sz w:val="24"/>
          <w:szCs w:val="24"/>
        </w:rPr>
        <w:t>DRR</w:t>
      </w:r>
      <w:r>
        <w:rPr>
          <w:sz w:val="24"/>
          <w:szCs w:val="24"/>
        </w:rPr>
        <w:t xml:space="preserve">. </w:t>
      </w:r>
      <w:r w:rsidR="00096AE1">
        <w:rPr>
          <w:sz w:val="24"/>
          <w:szCs w:val="24"/>
        </w:rPr>
        <w:t>However, a</w:t>
      </w:r>
      <w:r w:rsidR="001E50EC">
        <w:rPr>
          <w:sz w:val="24"/>
          <w:szCs w:val="24"/>
        </w:rPr>
        <w:t xml:space="preserve"> review</w:t>
      </w:r>
      <w:r>
        <w:rPr>
          <w:sz w:val="24"/>
          <w:szCs w:val="24"/>
        </w:rPr>
        <w:t xml:space="preserve"> of the monitoring data indicates that </w:t>
      </w:r>
      <w:r w:rsidR="00AF3BFE">
        <w:rPr>
          <w:sz w:val="24"/>
          <w:szCs w:val="24"/>
        </w:rPr>
        <w:t>SO</w:t>
      </w:r>
      <w:r w:rsidR="00AF3BFE">
        <w:rPr>
          <w:sz w:val="24"/>
          <w:szCs w:val="24"/>
          <w:vertAlign w:val="subscript"/>
        </w:rPr>
        <w:t>2</w:t>
      </w:r>
      <w:r w:rsidR="00AF3BFE">
        <w:rPr>
          <w:sz w:val="24"/>
          <w:szCs w:val="24"/>
        </w:rPr>
        <w:t xml:space="preserve"> concentrations in </w:t>
      </w:r>
      <w:r>
        <w:rPr>
          <w:sz w:val="24"/>
          <w:szCs w:val="24"/>
        </w:rPr>
        <w:t xml:space="preserve">the ambient air </w:t>
      </w:r>
      <w:r w:rsidR="00AF3BFE">
        <w:rPr>
          <w:sz w:val="24"/>
          <w:szCs w:val="24"/>
        </w:rPr>
        <w:t>are</w:t>
      </w:r>
      <w:r>
        <w:rPr>
          <w:sz w:val="24"/>
          <w:szCs w:val="24"/>
        </w:rPr>
        <w:t xml:space="preserve"> regularly well below the SO</w:t>
      </w:r>
      <w:r w:rsidRPr="00F85CA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standard. </w:t>
      </w:r>
      <w:r w:rsidR="009543C0">
        <w:rPr>
          <w:sz w:val="24"/>
          <w:szCs w:val="24"/>
        </w:rPr>
        <w:t>The form of the standard, the 99</w:t>
      </w:r>
      <w:r w:rsidR="009543C0" w:rsidRPr="009543C0">
        <w:rPr>
          <w:sz w:val="24"/>
          <w:szCs w:val="24"/>
          <w:vertAlign w:val="superscript"/>
        </w:rPr>
        <w:t>th</w:t>
      </w:r>
      <w:r w:rsidR="009543C0">
        <w:rPr>
          <w:sz w:val="24"/>
          <w:szCs w:val="24"/>
        </w:rPr>
        <w:t xml:space="preserve"> percentile </w:t>
      </w:r>
      <w:r w:rsidR="00572C70">
        <w:rPr>
          <w:sz w:val="24"/>
          <w:szCs w:val="24"/>
        </w:rPr>
        <w:t xml:space="preserve">daily 1-hr maximum </w:t>
      </w:r>
      <w:r w:rsidR="009543C0">
        <w:rPr>
          <w:sz w:val="24"/>
          <w:szCs w:val="24"/>
        </w:rPr>
        <w:t xml:space="preserve">concentration (ppb), is shown in column </w:t>
      </w:r>
      <w:r w:rsidR="009F765E">
        <w:rPr>
          <w:sz w:val="24"/>
          <w:szCs w:val="24"/>
        </w:rPr>
        <w:t xml:space="preserve">4 </w:t>
      </w:r>
      <w:r w:rsidR="009543C0">
        <w:rPr>
          <w:sz w:val="24"/>
          <w:szCs w:val="24"/>
        </w:rPr>
        <w:t>of Table 4</w:t>
      </w:r>
      <w:r w:rsidR="00CD62D0">
        <w:rPr>
          <w:sz w:val="24"/>
          <w:szCs w:val="24"/>
        </w:rPr>
        <w:t>,</w:t>
      </w:r>
      <w:r w:rsidR="009543C0">
        <w:rPr>
          <w:sz w:val="24"/>
          <w:szCs w:val="24"/>
        </w:rPr>
        <w:t xml:space="preserve"> below.</w:t>
      </w:r>
    </w:p>
    <w:p w14:paraId="444DD198" w14:textId="77777777" w:rsidR="006B361F" w:rsidRPr="00CD62D0" w:rsidRDefault="006B361F" w:rsidP="000F278E">
      <w:pPr>
        <w:spacing w:after="0"/>
        <w:rPr>
          <w:sz w:val="24"/>
          <w:szCs w:val="24"/>
        </w:rPr>
      </w:pPr>
    </w:p>
    <w:p w14:paraId="0FE39320" w14:textId="4065E70A" w:rsidR="00F85CAB" w:rsidRDefault="00F85CAB" w:rsidP="000F27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Table 4: </w:t>
      </w:r>
      <w:r>
        <w:rPr>
          <w:sz w:val="24"/>
          <w:szCs w:val="24"/>
        </w:rPr>
        <w:t>San Juan Substation SO</w:t>
      </w:r>
      <w:r w:rsidRPr="00F85CA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monitor data summary, 2013–</w:t>
      </w:r>
      <w:r w:rsidR="001E50EC">
        <w:rPr>
          <w:sz w:val="24"/>
          <w:szCs w:val="24"/>
        </w:rPr>
        <w:t>2018</w:t>
      </w:r>
      <w:r>
        <w:rPr>
          <w:sz w:val="24"/>
          <w:szCs w:val="24"/>
        </w:rPr>
        <w:t>.</w:t>
      </w:r>
      <w:r w:rsidR="00660492">
        <w:rPr>
          <w:rStyle w:val="FootnoteReference"/>
          <w:sz w:val="24"/>
          <w:szCs w:val="24"/>
        </w:rPr>
        <w:footnoteReference w:id="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612"/>
        <w:gridCol w:w="1667"/>
        <w:gridCol w:w="1707"/>
        <w:gridCol w:w="1983"/>
      </w:tblGrid>
      <w:tr w:rsidR="00F85CAB" w14:paraId="351A9817" w14:textId="77777777" w:rsidTr="00490254">
        <w:trPr>
          <w:cantSplit/>
        </w:trPr>
        <w:tc>
          <w:tcPr>
            <w:tcW w:w="703" w:type="dxa"/>
          </w:tcPr>
          <w:p w14:paraId="288FF936" w14:textId="77777777" w:rsidR="00F85CAB" w:rsidRPr="009F765E" w:rsidRDefault="00490254" w:rsidP="000F278E">
            <w:pPr>
              <w:rPr>
                <w:b/>
                <w:sz w:val="24"/>
                <w:szCs w:val="24"/>
              </w:rPr>
            </w:pPr>
            <w:r w:rsidRPr="009F765E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585" w:type="dxa"/>
          </w:tcPr>
          <w:p w14:paraId="36584424" w14:textId="77777777" w:rsidR="00F85CAB" w:rsidRPr="009F765E" w:rsidRDefault="00490254" w:rsidP="000F278E">
            <w:pPr>
              <w:rPr>
                <w:b/>
                <w:sz w:val="24"/>
                <w:szCs w:val="24"/>
              </w:rPr>
            </w:pPr>
            <w:r w:rsidRPr="009F765E">
              <w:rPr>
                <w:b/>
                <w:sz w:val="24"/>
                <w:szCs w:val="24"/>
              </w:rPr>
              <w:t>Mean SO</w:t>
            </w:r>
            <w:r w:rsidRPr="009F765E">
              <w:rPr>
                <w:b/>
                <w:sz w:val="24"/>
                <w:szCs w:val="24"/>
                <w:vertAlign w:val="subscript"/>
              </w:rPr>
              <w:t>2</w:t>
            </w:r>
            <w:r w:rsidRPr="009F765E">
              <w:rPr>
                <w:b/>
                <w:sz w:val="24"/>
                <w:szCs w:val="24"/>
              </w:rPr>
              <w:t xml:space="preserve"> concentration (ppb)</w:t>
            </w:r>
          </w:p>
        </w:tc>
        <w:tc>
          <w:tcPr>
            <w:tcW w:w="1667" w:type="dxa"/>
          </w:tcPr>
          <w:p w14:paraId="733AE367" w14:textId="77777777" w:rsidR="00F85CAB" w:rsidRPr="009F765E" w:rsidRDefault="00490254" w:rsidP="000F278E">
            <w:pPr>
              <w:rPr>
                <w:b/>
                <w:sz w:val="24"/>
                <w:szCs w:val="24"/>
              </w:rPr>
            </w:pPr>
            <w:r w:rsidRPr="009F765E">
              <w:rPr>
                <w:b/>
                <w:sz w:val="24"/>
                <w:szCs w:val="24"/>
              </w:rPr>
              <w:t>Maximum SO</w:t>
            </w:r>
            <w:r w:rsidRPr="009F765E">
              <w:rPr>
                <w:b/>
                <w:sz w:val="24"/>
                <w:szCs w:val="24"/>
                <w:vertAlign w:val="subscript"/>
              </w:rPr>
              <w:t xml:space="preserve">2 </w:t>
            </w:r>
            <w:r w:rsidRPr="009F765E">
              <w:rPr>
                <w:b/>
                <w:sz w:val="24"/>
                <w:szCs w:val="24"/>
              </w:rPr>
              <w:t>concentration (ppb)</w:t>
            </w:r>
          </w:p>
        </w:tc>
        <w:tc>
          <w:tcPr>
            <w:tcW w:w="1707" w:type="dxa"/>
          </w:tcPr>
          <w:p w14:paraId="3532EDD0" w14:textId="77777777" w:rsidR="00F85CAB" w:rsidRPr="009F765E" w:rsidRDefault="00490254" w:rsidP="000F278E">
            <w:pPr>
              <w:rPr>
                <w:b/>
                <w:sz w:val="24"/>
                <w:szCs w:val="24"/>
              </w:rPr>
            </w:pPr>
            <w:r w:rsidRPr="009F765E">
              <w:rPr>
                <w:b/>
                <w:sz w:val="24"/>
                <w:szCs w:val="24"/>
              </w:rPr>
              <w:t>99</w:t>
            </w:r>
            <w:r w:rsidRPr="009F765E">
              <w:rPr>
                <w:b/>
                <w:sz w:val="24"/>
                <w:szCs w:val="24"/>
                <w:vertAlign w:val="superscript"/>
              </w:rPr>
              <w:t>th</w:t>
            </w:r>
            <w:r w:rsidRPr="009F765E">
              <w:rPr>
                <w:b/>
                <w:sz w:val="24"/>
                <w:szCs w:val="24"/>
              </w:rPr>
              <w:t xml:space="preserve"> percentile concentration (ppb)</w:t>
            </w:r>
          </w:p>
        </w:tc>
        <w:tc>
          <w:tcPr>
            <w:tcW w:w="1983" w:type="dxa"/>
          </w:tcPr>
          <w:p w14:paraId="7DDA2717" w14:textId="77777777" w:rsidR="00F85CAB" w:rsidRPr="009F765E" w:rsidRDefault="00490254" w:rsidP="000F278E">
            <w:pPr>
              <w:rPr>
                <w:b/>
                <w:sz w:val="24"/>
                <w:szCs w:val="24"/>
              </w:rPr>
            </w:pPr>
            <w:r w:rsidRPr="009F765E">
              <w:rPr>
                <w:b/>
                <w:sz w:val="24"/>
                <w:szCs w:val="24"/>
              </w:rPr>
              <w:t>Number of hours exceeding 75 ppb</w:t>
            </w:r>
          </w:p>
        </w:tc>
      </w:tr>
      <w:tr w:rsidR="00F85CAB" w14:paraId="429D55C0" w14:textId="77777777" w:rsidTr="00490254">
        <w:trPr>
          <w:cantSplit/>
        </w:trPr>
        <w:tc>
          <w:tcPr>
            <w:tcW w:w="703" w:type="dxa"/>
          </w:tcPr>
          <w:p w14:paraId="58497236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85" w:type="dxa"/>
          </w:tcPr>
          <w:p w14:paraId="14AF62E1" w14:textId="55F79AE1" w:rsidR="00F85CAB" w:rsidRDefault="001A6A8A" w:rsidP="000F278E">
            <w:pPr>
              <w:rPr>
                <w:sz w:val="24"/>
                <w:szCs w:val="24"/>
              </w:rPr>
            </w:pPr>
            <w:r w:rsidRPr="001A6A8A">
              <w:rPr>
                <w:sz w:val="24"/>
                <w:szCs w:val="24"/>
              </w:rPr>
              <w:t>2.60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2770FC60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7" w:type="dxa"/>
          </w:tcPr>
          <w:p w14:paraId="348EAFEA" w14:textId="152287CC" w:rsidR="00F85CAB" w:rsidRDefault="001A6A8A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3" w:type="dxa"/>
          </w:tcPr>
          <w:p w14:paraId="60FF70F5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5CAB" w14:paraId="65B3486E" w14:textId="77777777" w:rsidTr="00490254">
        <w:trPr>
          <w:cantSplit/>
        </w:trPr>
        <w:tc>
          <w:tcPr>
            <w:tcW w:w="703" w:type="dxa"/>
          </w:tcPr>
          <w:p w14:paraId="28EF6C0F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85" w:type="dxa"/>
          </w:tcPr>
          <w:p w14:paraId="041155F7" w14:textId="186E0244" w:rsidR="00F85CAB" w:rsidRDefault="001A6A8A" w:rsidP="000F278E">
            <w:pPr>
              <w:rPr>
                <w:sz w:val="24"/>
                <w:szCs w:val="24"/>
              </w:rPr>
            </w:pPr>
            <w:r w:rsidRPr="001A6A8A">
              <w:rPr>
                <w:sz w:val="24"/>
                <w:szCs w:val="24"/>
              </w:rPr>
              <w:t>0.837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281BA864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14:paraId="4817DEFE" w14:textId="68C04C3D" w:rsidR="00F85CAB" w:rsidRDefault="001A6A8A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14:paraId="56D287DF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5CAB" w14:paraId="6672A53E" w14:textId="77777777" w:rsidTr="00490254">
        <w:trPr>
          <w:cantSplit/>
        </w:trPr>
        <w:tc>
          <w:tcPr>
            <w:tcW w:w="703" w:type="dxa"/>
          </w:tcPr>
          <w:p w14:paraId="29EE9CAC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85" w:type="dxa"/>
          </w:tcPr>
          <w:p w14:paraId="41FD3DDD" w14:textId="3D694D1F" w:rsidR="00F85CAB" w:rsidRDefault="00B160F7" w:rsidP="000F278E">
            <w:pPr>
              <w:rPr>
                <w:sz w:val="24"/>
                <w:szCs w:val="24"/>
              </w:rPr>
            </w:pPr>
            <w:r w:rsidRPr="00B160F7">
              <w:rPr>
                <w:sz w:val="24"/>
                <w:szCs w:val="24"/>
              </w:rPr>
              <w:t>0.058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2B3B16C9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14E5EC26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53A11A16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5CAB" w14:paraId="63D2B195" w14:textId="77777777" w:rsidTr="00490254">
        <w:trPr>
          <w:cantSplit/>
        </w:trPr>
        <w:tc>
          <w:tcPr>
            <w:tcW w:w="703" w:type="dxa"/>
          </w:tcPr>
          <w:p w14:paraId="573A20E6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85" w:type="dxa"/>
          </w:tcPr>
          <w:p w14:paraId="6C0D0E8A" w14:textId="0BC08418" w:rsidR="00F85CAB" w:rsidRDefault="008A632A" w:rsidP="000F278E">
            <w:pPr>
              <w:rPr>
                <w:sz w:val="24"/>
                <w:szCs w:val="24"/>
              </w:rPr>
            </w:pPr>
            <w:r w:rsidRPr="008A632A">
              <w:rPr>
                <w:sz w:val="24"/>
                <w:szCs w:val="24"/>
              </w:rPr>
              <w:t>1.18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4BF3AF0E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14:paraId="5E8F8DB7" w14:textId="3439A3AA" w:rsidR="00F85CAB" w:rsidRDefault="008A632A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443C9952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5CAB" w14:paraId="27733166" w14:textId="77777777" w:rsidTr="00490254">
        <w:trPr>
          <w:cantSplit/>
        </w:trPr>
        <w:tc>
          <w:tcPr>
            <w:tcW w:w="703" w:type="dxa"/>
          </w:tcPr>
          <w:p w14:paraId="24F39652" w14:textId="77777777" w:rsidR="00F85CAB" w:rsidRDefault="00490254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85" w:type="dxa"/>
          </w:tcPr>
          <w:p w14:paraId="2FDA7E90" w14:textId="320639CC" w:rsidR="00F85CAB" w:rsidRDefault="00966E99" w:rsidP="000F278E">
            <w:pPr>
              <w:rPr>
                <w:sz w:val="24"/>
                <w:szCs w:val="24"/>
              </w:rPr>
            </w:pPr>
            <w:r w:rsidRPr="00966E99">
              <w:rPr>
                <w:sz w:val="24"/>
                <w:szCs w:val="24"/>
              </w:rPr>
              <w:t>3.2</w:t>
            </w:r>
            <w:r w:rsidR="00710B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6C362BAF" w14:textId="33E404A0" w:rsidR="00F85CAB" w:rsidRDefault="001E50EC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7" w:type="dxa"/>
          </w:tcPr>
          <w:p w14:paraId="7536BC73" w14:textId="7311A7C1" w:rsidR="00F85CAB" w:rsidRDefault="00966E99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0EC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14:paraId="4FE88CED" w14:textId="009A7800" w:rsidR="00F85CAB" w:rsidRDefault="001E50EC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50EC" w14:paraId="2F991F14" w14:textId="77777777" w:rsidTr="00490254">
        <w:trPr>
          <w:cantSplit/>
        </w:trPr>
        <w:tc>
          <w:tcPr>
            <w:tcW w:w="703" w:type="dxa"/>
          </w:tcPr>
          <w:p w14:paraId="093ACC9B" w14:textId="77777777" w:rsidR="001E50EC" w:rsidRDefault="001E50EC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85" w:type="dxa"/>
          </w:tcPr>
          <w:p w14:paraId="2FC812C7" w14:textId="77777777" w:rsidR="001E50EC" w:rsidRDefault="00710BAB" w:rsidP="000F278E">
            <w:pPr>
              <w:rPr>
                <w:sz w:val="24"/>
                <w:szCs w:val="24"/>
              </w:rPr>
            </w:pPr>
            <w:r w:rsidRPr="00710BAB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2985262D" w14:textId="77777777" w:rsidR="001E50EC" w:rsidRDefault="00E138EB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0BAB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14:paraId="74164391" w14:textId="77777777" w:rsidR="001E50EC" w:rsidRDefault="00710BAB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14:paraId="152B0CDC" w14:textId="77777777" w:rsidR="001E50EC" w:rsidRDefault="00E138EB" w:rsidP="000F2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049FCDD" w14:textId="77777777" w:rsidR="00F85CAB" w:rsidRPr="00CD62D0" w:rsidRDefault="00F85CAB" w:rsidP="000F278E">
      <w:pPr>
        <w:spacing w:after="0"/>
        <w:rPr>
          <w:sz w:val="16"/>
          <w:szCs w:val="16"/>
        </w:rPr>
      </w:pPr>
    </w:p>
    <w:p w14:paraId="768B5419" w14:textId="662D8921" w:rsidR="00DB3646" w:rsidRDefault="001E50EC" w:rsidP="000F278E">
      <w:pPr>
        <w:spacing w:after="0"/>
        <w:rPr>
          <w:sz w:val="24"/>
          <w:szCs w:val="24"/>
        </w:rPr>
      </w:pPr>
      <w:r w:rsidRPr="001E50EC">
        <w:rPr>
          <w:sz w:val="24"/>
          <w:szCs w:val="24"/>
        </w:rPr>
        <w:t>No hourly concentration exceeded 75 ppb for the time period 2013–201</w:t>
      </w:r>
      <w:r>
        <w:rPr>
          <w:sz w:val="24"/>
          <w:szCs w:val="24"/>
        </w:rPr>
        <w:t>8</w:t>
      </w:r>
      <w:r w:rsidRPr="001E50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E50EC">
        <w:rPr>
          <w:sz w:val="24"/>
          <w:szCs w:val="24"/>
        </w:rPr>
        <w:t>The maximum 99</w:t>
      </w:r>
      <w:r w:rsidRPr="00096AE1">
        <w:rPr>
          <w:sz w:val="24"/>
          <w:szCs w:val="24"/>
          <w:vertAlign w:val="superscript"/>
        </w:rPr>
        <w:t>th</w:t>
      </w:r>
      <w:r w:rsidRPr="001E50EC">
        <w:rPr>
          <w:sz w:val="24"/>
          <w:szCs w:val="24"/>
        </w:rPr>
        <w:t xml:space="preserve"> percentile concentration of </w:t>
      </w:r>
      <w:r w:rsidR="008C5A9D">
        <w:rPr>
          <w:sz w:val="24"/>
          <w:szCs w:val="24"/>
        </w:rPr>
        <w:t>25</w:t>
      </w:r>
      <w:r w:rsidRPr="001E50EC">
        <w:rPr>
          <w:sz w:val="24"/>
          <w:szCs w:val="24"/>
        </w:rPr>
        <w:t xml:space="preserve"> ppb occurred in 201</w:t>
      </w:r>
      <w:r w:rsidR="008C5A9D">
        <w:rPr>
          <w:sz w:val="24"/>
          <w:szCs w:val="24"/>
        </w:rPr>
        <w:t>3</w:t>
      </w:r>
      <w:r w:rsidRPr="001E50EC">
        <w:rPr>
          <w:sz w:val="24"/>
          <w:szCs w:val="24"/>
        </w:rPr>
        <w:t>.</w:t>
      </w:r>
    </w:p>
    <w:p w14:paraId="453710AB" w14:textId="77777777" w:rsidR="009543C0" w:rsidRDefault="009543C0" w:rsidP="00DB3646">
      <w:pPr>
        <w:spacing w:after="0" w:line="240" w:lineRule="auto"/>
      </w:pPr>
    </w:p>
    <w:p w14:paraId="6DC75843" w14:textId="77777777" w:rsidR="00790672" w:rsidRPr="00CD62D0" w:rsidRDefault="00790672" w:rsidP="00096AE1">
      <w:pPr>
        <w:spacing w:after="0" w:line="240" w:lineRule="auto"/>
      </w:pPr>
    </w:p>
    <w:p w14:paraId="068AFF44" w14:textId="77777777" w:rsidR="00077297" w:rsidRDefault="00077297" w:rsidP="00096A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Discussion and Recommendation</w:t>
      </w:r>
    </w:p>
    <w:p w14:paraId="1D6F805D" w14:textId="77777777" w:rsidR="00077297" w:rsidRPr="000E5E72" w:rsidRDefault="00077297" w:rsidP="00096AE1">
      <w:pPr>
        <w:spacing w:after="0" w:line="240" w:lineRule="auto"/>
        <w:rPr>
          <w:b/>
        </w:rPr>
      </w:pPr>
    </w:p>
    <w:p w14:paraId="599C2D26" w14:textId="205D3C88" w:rsidR="00077297" w:rsidRPr="00A27B10" w:rsidRDefault="00077297" w:rsidP="000F278E">
      <w:pPr>
        <w:spacing w:after="0"/>
        <w:rPr>
          <w:sz w:val="24"/>
          <w:szCs w:val="24"/>
        </w:rPr>
      </w:pPr>
      <w:r w:rsidRPr="00A27B10">
        <w:rPr>
          <w:sz w:val="24"/>
          <w:szCs w:val="24"/>
        </w:rPr>
        <w:t>The above summary tables show that for all parameters, SO</w:t>
      </w:r>
      <w:r w:rsidRPr="00A27B10">
        <w:rPr>
          <w:sz w:val="24"/>
          <w:szCs w:val="24"/>
          <w:vertAlign w:val="subscript"/>
        </w:rPr>
        <w:t>2</w:t>
      </w:r>
      <w:r w:rsidRPr="00A27B10">
        <w:rPr>
          <w:sz w:val="24"/>
          <w:szCs w:val="24"/>
        </w:rPr>
        <w:t xml:space="preserve"> emissions from the San Juan Generating Station have decreased since the 2013-2015 modeling, which showed the area in attainment of the 2010 1-hour</w:t>
      </w:r>
      <w:r w:rsidR="00DA056B" w:rsidRPr="00DA056B">
        <w:rPr>
          <w:sz w:val="24"/>
          <w:szCs w:val="24"/>
        </w:rPr>
        <w:t xml:space="preserve"> </w:t>
      </w:r>
      <w:r w:rsidR="00DA056B" w:rsidRPr="00A27B10">
        <w:rPr>
          <w:sz w:val="24"/>
          <w:szCs w:val="24"/>
        </w:rPr>
        <w:t>SO</w:t>
      </w:r>
      <w:r w:rsidR="00DA056B" w:rsidRPr="00A27B10">
        <w:rPr>
          <w:sz w:val="24"/>
          <w:szCs w:val="24"/>
          <w:vertAlign w:val="subscript"/>
        </w:rPr>
        <w:t>2</w:t>
      </w:r>
      <w:r w:rsidRPr="00A27B10">
        <w:rPr>
          <w:sz w:val="24"/>
          <w:szCs w:val="24"/>
        </w:rPr>
        <w:t xml:space="preserve"> primary standard. Although 2017 showed a </w:t>
      </w:r>
      <w:r w:rsidR="00AF3BFE">
        <w:rPr>
          <w:sz w:val="24"/>
          <w:szCs w:val="24"/>
        </w:rPr>
        <w:t>slight increase</w:t>
      </w:r>
      <w:r w:rsidRPr="00A27B10">
        <w:rPr>
          <w:sz w:val="24"/>
          <w:szCs w:val="24"/>
        </w:rPr>
        <w:t xml:space="preserve"> in the average hourly emissions </w:t>
      </w:r>
      <w:r w:rsidR="00572C70">
        <w:rPr>
          <w:sz w:val="24"/>
          <w:szCs w:val="24"/>
        </w:rPr>
        <w:t xml:space="preserve">and the annual emissions </w:t>
      </w:r>
      <w:r w:rsidR="009543C0">
        <w:rPr>
          <w:sz w:val="24"/>
          <w:szCs w:val="24"/>
        </w:rPr>
        <w:t>from the previous year</w:t>
      </w:r>
      <w:r w:rsidRPr="00A27B10">
        <w:rPr>
          <w:sz w:val="24"/>
          <w:szCs w:val="24"/>
        </w:rPr>
        <w:t xml:space="preserve">, this trend </w:t>
      </w:r>
      <w:r w:rsidR="00DA056B">
        <w:rPr>
          <w:sz w:val="24"/>
          <w:szCs w:val="24"/>
        </w:rPr>
        <w:t xml:space="preserve">did not </w:t>
      </w:r>
      <w:r w:rsidRPr="00A27B10">
        <w:rPr>
          <w:sz w:val="24"/>
          <w:szCs w:val="24"/>
        </w:rPr>
        <w:t>continue since two of the four units at the facility have permanently shut down as of December 2017.</w:t>
      </w:r>
      <w:r w:rsidR="004A7FC4">
        <w:rPr>
          <w:sz w:val="24"/>
          <w:szCs w:val="24"/>
        </w:rPr>
        <w:t xml:space="preserve"> Furthermore</w:t>
      </w:r>
      <w:r w:rsidR="006164B6">
        <w:rPr>
          <w:sz w:val="24"/>
          <w:szCs w:val="24"/>
        </w:rPr>
        <w:t xml:space="preserve">, all other emissions trends have steadily decreased since the </w:t>
      </w:r>
      <w:r w:rsidR="00D05A71">
        <w:rPr>
          <w:sz w:val="24"/>
          <w:szCs w:val="24"/>
        </w:rPr>
        <w:t xml:space="preserve">modeled </w:t>
      </w:r>
      <w:r w:rsidR="006164B6">
        <w:rPr>
          <w:sz w:val="24"/>
          <w:szCs w:val="24"/>
        </w:rPr>
        <w:t>years, which showed the area in attainment of the 2010 1-hr SO</w:t>
      </w:r>
      <w:r w:rsidR="006164B6" w:rsidRPr="006164B6">
        <w:rPr>
          <w:sz w:val="24"/>
          <w:szCs w:val="24"/>
          <w:vertAlign w:val="subscript"/>
        </w:rPr>
        <w:t>2</w:t>
      </w:r>
      <w:r w:rsidR="006164B6">
        <w:rPr>
          <w:sz w:val="24"/>
          <w:szCs w:val="24"/>
        </w:rPr>
        <w:t xml:space="preserve"> </w:t>
      </w:r>
      <w:r w:rsidR="004A7FC4">
        <w:rPr>
          <w:sz w:val="24"/>
          <w:szCs w:val="24"/>
        </w:rPr>
        <w:t xml:space="preserve">primary </w:t>
      </w:r>
      <w:r w:rsidR="006164B6">
        <w:rPr>
          <w:sz w:val="24"/>
          <w:szCs w:val="24"/>
        </w:rPr>
        <w:t>NAAQS.</w:t>
      </w:r>
    </w:p>
    <w:p w14:paraId="577D01F1" w14:textId="77777777" w:rsidR="00DA76BC" w:rsidRPr="00CD62D0" w:rsidRDefault="00DA76BC" w:rsidP="000F278E">
      <w:pPr>
        <w:spacing w:after="0"/>
        <w:rPr>
          <w:sz w:val="16"/>
          <w:szCs w:val="16"/>
        </w:rPr>
      </w:pPr>
    </w:p>
    <w:p w14:paraId="71C04D0B" w14:textId="1558B22A" w:rsidR="00DA76BC" w:rsidRPr="00A27B10" w:rsidRDefault="00DA76BC" w:rsidP="000F278E">
      <w:pPr>
        <w:spacing w:after="0"/>
        <w:rPr>
          <w:sz w:val="24"/>
          <w:szCs w:val="24"/>
        </w:rPr>
      </w:pPr>
      <w:r w:rsidRPr="00A27B10">
        <w:rPr>
          <w:sz w:val="24"/>
          <w:szCs w:val="24"/>
        </w:rPr>
        <w:t xml:space="preserve">Monitoring data near SJGS also show that ambient air quality meets the 2010 </w:t>
      </w:r>
      <w:r w:rsidR="00A27B10" w:rsidRPr="00A27B10">
        <w:rPr>
          <w:sz w:val="24"/>
          <w:szCs w:val="24"/>
        </w:rPr>
        <w:t>1-hour</w:t>
      </w:r>
      <w:r w:rsidR="00DA056B" w:rsidRPr="00DA056B">
        <w:rPr>
          <w:sz w:val="24"/>
          <w:szCs w:val="24"/>
        </w:rPr>
        <w:t xml:space="preserve"> </w:t>
      </w:r>
      <w:r w:rsidR="00DA056B" w:rsidRPr="00A27B10">
        <w:rPr>
          <w:sz w:val="24"/>
          <w:szCs w:val="24"/>
        </w:rPr>
        <w:t>SO</w:t>
      </w:r>
      <w:r w:rsidR="00DA056B" w:rsidRPr="006164B6">
        <w:rPr>
          <w:sz w:val="24"/>
          <w:szCs w:val="24"/>
          <w:vertAlign w:val="subscript"/>
        </w:rPr>
        <w:t>2</w:t>
      </w:r>
      <w:r w:rsidR="00A27B10" w:rsidRPr="00A27B10">
        <w:rPr>
          <w:sz w:val="24"/>
          <w:szCs w:val="24"/>
        </w:rPr>
        <w:t xml:space="preserve"> primary standard </w:t>
      </w:r>
      <w:r w:rsidR="004A7FC4">
        <w:rPr>
          <w:sz w:val="24"/>
          <w:szCs w:val="24"/>
        </w:rPr>
        <w:t>of 75 ppb</w:t>
      </w:r>
      <w:r w:rsidR="004A7FC4" w:rsidRPr="00A27B10">
        <w:rPr>
          <w:sz w:val="24"/>
          <w:szCs w:val="24"/>
        </w:rPr>
        <w:t xml:space="preserve"> </w:t>
      </w:r>
      <w:r w:rsidR="00A27B10" w:rsidRPr="00A27B10">
        <w:rPr>
          <w:sz w:val="24"/>
          <w:szCs w:val="24"/>
        </w:rPr>
        <w:t>for all years, 2013–</w:t>
      </w:r>
      <w:r w:rsidR="00C27D9B">
        <w:rPr>
          <w:sz w:val="24"/>
          <w:szCs w:val="24"/>
        </w:rPr>
        <w:t>2018.</w:t>
      </w:r>
    </w:p>
    <w:p w14:paraId="79589EAC" w14:textId="77777777" w:rsidR="00077297" w:rsidRPr="00CD62D0" w:rsidRDefault="00077297" w:rsidP="000F278E">
      <w:pPr>
        <w:spacing w:after="0"/>
        <w:rPr>
          <w:sz w:val="16"/>
          <w:szCs w:val="16"/>
        </w:rPr>
      </w:pPr>
    </w:p>
    <w:p w14:paraId="57CC1A1A" w14:textId="451CF878" w:rsidR="00077297" w:rsidRPr="00077297" w:rsidRDefault="00077297" w:rsidP="000F278E">
      <w:pPr>
        <w:spacing w:after="0"/>
        <w:rPr>
          <w:sz w:val="28"/>
          <w:szCs w:val="28"/>
        </w:rPr>
      </w:pPr>
      <w:r w:rsidRPr="00A27B10">
        <w:rPr>
          <w:sz w:val="24"/>
          <w:szCs w:val="24"/>
        </w:rPr>
        <w:t xml:space="preserve">Since emissions are decreasing and are expected to be significantly lower in future years, </w:t>
      </w:r>
      <w:r w:rsidR="00A27B10" w:rsidRPr="00A27B10">
        <w:rPr>
          <w:sz w:val="24"/>
          <w:szCs w:val="24"/>
        </w:rPr>
        <w:t xml:space="preserve">and since monitoring data near SJGS show </w:t>
      </w:r>
      <w:r w:rsidR="009543C0">
        <w:rPr>
          <w:sz w:val="24"/>
          <w:szCs w:val="24"/>
        </w:rPr>
        <w:t>acceptable SO</w:t>
      </w:r>
      <w:r w:rsidR="009543C0" w:rsidRPr="009543C0">
        <w:rPr>
          <w:sz w:val="24"/>
          <w:szCs w:val="24"/>
          <w:vertAlign w:val="subscript"/>
        </w:rPr>
        <w:t>2</w:t>
      </w:r>
      <w:r w:rsidR="009543C0">
        <w:rPr>
          <w:sz w:val="24"/>
          <w:szCs w:val="24"/>
        </w:rPr>
        <w:t xml:space="preserve"> concentrations</w:t>
      </w:r>
      <w:r w:rsidR="00A27B10" w:rsidRPr="00A27B10">
        <w:rPr>
          <w:sz w:val="24"/>
          <w:szCs w:val="24"/>
        </w:rPr>
        <w:t xml:space="preserve"> for 2013–</w:t>
      </w:r>
      <w:r w:rsidR="00CF40AF">
        <w:rPr>
          <w:sz w:val="24"/>
          <w:szCs w:val="24"/>
        </w:rPr>
        <w:t>2018</w:t>
      </w:r>
      <w:r w:rsidR="00A27B10" w:rsidRPr="00A27B10">
        <w:rPr>
          <w:sz w:val="24"/>
          <w:szCs w:val="24"/>
        </w:rPr>
        <w:t xml:space="preserve">, NMED recommends that </w:t>
      </w:r>
      <w:r w:rsidR="001603FE">
        <w:rPr>
          <w:sz w:val="24"/>
          <w:szCs w:val="24"/>
        </w:rPr>
        <w:t xml:space="preserve">further modeling is not warranted to assess any expected changes in recent air quality, and that </w:t>
      </w:r>
      <w:r w:rsidR="00A27B10" w:rsidRPr="00A27B10">
        <w:rPr>
          <w:sz w:val="24"/>
          <w:szCs w:val="24"/>
        </w:rPr>
        <w:t>EPA</w:t>
      </w:r>
      <w:r w:rsidR="00F021AF">
        <w:rPr>
          <w:sz w:val="24"/>
          <w:szCs w:val="24"/>
        </w:rPr>
        <w:t xml:space="preserve"> not</w:t>
      </w:r>
      <w:r w:rsidRPr="00A27B10">
        <w:rPr>
          <w:sz w:val="24"/>
          <w:szCs w:val="24"/>
        </w:rPr>
        <w:t xml:space="preserve"> require </w:t>
      </w:r>
      <w:r w:rsidR="00621F41">
        <w:rPr>
          <w:sz w:val="24"/>
          <w:szCs w:val="24"/>
        </w:rPr>
        <w:t>re-</w:t>
      </w:r>
      <w:r w:rsidRPr="00A27B10">
        <w:rPr>
          <w:sz w:val="24"/>
          <w:szCs w:val="24"/>
        </w:rPr>
        <w:t>modeling for 2014-</w:t>
      </w:r>
      <w:r w:rsidR="00C27D9B" w:rsidRPr="00A27B10">
        <w:rPr>
          <w:sz w:val="24"/>
          <w:szCs w:val="24"/>
        </w:rPr>
        <w:t>2016,</w:t>
      </w:r>
      <w:r w:rsidR="001603FE" w:rsidRPr="00A27B10">
        <w:rPr>
          <w:sz w:val="24"/>
          <w:szCs w:val="24"/>
        </w:rPr>
        <w:t xml:space="preserve"> </w:t>
      </w:r>
      <w:r w:rsidRPr="00A27B10">
        <w:rPr>
          <w:sz w:val="24"/>
          <w:szCs w:val="24"/>
        </w:rPr>
        <w:t>2015-2017</w:t>
      </w:r>
      <w:r w:rsidR="001603FE">
        <w:rPr>
          <w:sz w:val="24"/>
          <w:szCs w:val="24"/>
        </w:rPr>
        <w:t xml:space="preserve"> or 2016-2018</w:t>
      </w:r>
      <w:r w:rsidRPr="00A27B10">
        <w:rPr>
          <w:sz w:val="24"/>
          <w:szCs w:val="24"/>
        </w:rPr>
        <w:t>.</w:t>
      </w:r>
    </w:p>
    <w:sectPr w:rsidR="00077297" w:rsidRPr="00077297" w:rsidSect="005B5D76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914C" w14:textId="77777777" w:rsidR="004D277E" w:rsidRDefault="004D277E" w:rsidP="000F278E">
      <w:pPr>
        <w:spacing w:after="0" w:line="240" w:lineRule="auto"/>
      </w:pPr>
      <w:r>
        <w:separator/>
      </w:r>
    </w:p>
  </w:endnote>
  <w:endnote w:type="continuationSeparator" w:id="0">
    <w:p w14:paraId="00B002ED" w14:textId="77777777" w:rsidR="004D277E" w:rsidRDefault="004D277E" w:rsidP="000F278E">
      <w:pPr>
        <w:spacing w:after="0" w:line="240" w:lineRule="auto"/>
      </w:pPr>
      <w:r>
        <w:continuationSeparator/>
      </w:r>
    </w:p>
  </w:endnote>
  <w:endnote w:type="continuationNotice" w:id="1">
    <w:p w14:paraId="1C00F726" w14:textId="77777777" w:rsidR="004D277E" w:rsidRDefault="004D2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D8C0" w14:textId="226CEE19" w:rsidR="000F278E" w:rsidRDefault="000F278E" w:rsidP="000F278E">
    <w:pPr>
      <w:pStyle w:val="Footer"/>
      <w:tabs>
        <w:tab w:val="left" w:pos="3600"/>
        <w:tab w:val="left" w:pos="3690"/>
      </w:tabs>
    </w:pPr>
    <w:r>
      <w:t xml:space="preserve">NMED </w:t>
    </w:r>
    <w:r w:rsidR="008137BA">
      <w:t xml:space="preserve">2019 </w:t>
    </w:r>
    <w:r>
      <w:t>Annual Report</w:t>
    </w:r>
    <w:r>
      <w:ptab w:relativeTo="margin" w:alignment="center" w:leader="none"/>
    </w:r>
    <w:r>
      <w:t>SO</w:t>
    </w:r>
    <w:r w:rsidRPr="00150EA2">
      <w:rPr>
        <w:vertAlign w:val="subscript"/>
      </w:rPr>
      <w:t>2</w:t>
    </w:r>
    <w:r>
      <w:t xml:space="preserve"> Data Requirements Rule 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5D7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5791" w14:textId="77777777" w:rsidR="004D277E" w:rsidRDefault="004D277E" w:rsidP="000F278E">
      <w:pPr>
        <w:spacing w:after="0" w:line="240" w:lineRule="auto"/>
      </w:pPr>
      <w:r>
        <w:separator/>
      </w:r>
    </w:p>
  </w:footnote>
  <w:footnote w:type="continuationSeparator" w:id="0">
    <w:p w14:paraId="48F14702" w14:textId="77777777" w:rsidR="004D277E" w:rsidRDefault="004D277E" w:rsidP="000F278E">
      <w:pPr>
        <w:spacing w:after="0" w:line="240" w:lineRule="auto"/>
      </w:pPr>
      <w:r>
        <w:continuationSeparator/>
      </w:r>
    </w:p>
  </w:footnote>
  <w:footnote w:type="continuationNotice" w:id="1">
    <w:p w14:paraId="41D95FD0" w14:textId="77777777" w:rsidR="004D277E" w:rsidRDefault="004D277E">
      <w:pPr>
        <w:spacing w:after="0" w:line="240" w:lineRule="auto"/>
      </w:pPr>
    </w:p>
  </w:footnote>
  <w:footnote w:id="2">
    <w:p w14:paraId="086C04A7" w14:textId="289ABB10" w:rsidR="006B3B2A" w:rsidRDefault="006B3B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392E">
        <w:t xml:space="preserve">This value has been corrected from the 2018 report. </w:t>
      </w:r>
      <w:r w:rsidR="00A75B91">
        <w:t xml:space="preserve">In 2018 a value for a single hour was </w:t>
      </w:r>
      <w:r w:rsidR="00C9247C">
        <w:t xml:space="preserve">mistakenly </w:t>
      </w:r>
      <w:r w:rsidR="00A75B91">
        <w:t xml:space="preserve">used </w:t>
      </w:r>
      <w:r w:rsidR="00DD314B">
        <w:t>(i.e.</w:t>
      </w:r>
      <w:r w:rsidR="00917D10">
        <w:t>,</w:t>
      </w:r>
      <w:r w:rsidR="00DD314B">
        <w:t xml:space="preserve"> </w:t>
      </w:r>
      <w:r w:rsidR="00C9247C">
        <w:t xml:space="preserve">1627.41) </w:t>
      </w:r>
      <w:r w:rsidR="00A75B91">
        <w:t xml:space="preserve">instead of an average of </w:t>
      </w:r>
      <w:r w:rsidR="00DD314B">
        <w:t>all 8,760 hourly values</w:t>
      </w:r>
      <w:r w:rsidR="00276D74">
        <w:t xml:space="preserve"> (i.e.</w:t>
      </w:r>
      <w:r w:rsidR="00C92F30">
        <w:t>,</w:t>
      </w:r>
      <w:r w:rsidR="00276D74">
        <w:t xml:space="preserve"> 1364.77)</w:t>
      </w:r>
      <w:r w:rsidR="00DD314B">
        <w:t>.</w:t>
      </w:r>
    </w:p>
  </w:footnote>
  <w:footnote w:id="3">
    <w:p w14:paraId="3907C919" w14:textId="77384F20" w:rsidR="00CE535B" w:rsidRDefault="00CE53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137ED">
        <w:t>This value has been corrected from the 2018 report, due to a typo</w:t>
      </w:r>
      <w:r w:rsidR="00276D74">
        <w:t xml:space="preserve"> (i.e.</w:t>
      </w:r>
      <w:r w:rsidR="00C92F30">
        <w:t>,</w:t>
      </w:r>
      <w:r w:rsidR="00276D74">
        <w:t xml:space="preserve"> 5170.16[sic])</w:t>
      </w:r>
      <w:r w:rsidR="00E1373F">
        <w:t>.</w:t>
      </w:r>
    </w:p>
  </w:footnote>
  <w:footnote w:id="4">
    <w:p w14:paraId="30AFA167" w14:textId="780CB75E" w:rsidR="00526054" w:rsidRDefault="005260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C2FE1">
        <w:t xml:space="preserve">The 2018 report used </w:t>
      </w:r>
      <w:r w:rsidR="00127BA7">
        <w:t>eia.gov data for 2013-2016</w:t>
      </w:r>
      <w:r w:rsidR="007E733C">
        <w:t xml:space="preserve">, and </w:t>
      </w:r>
      <w:r w:rsidR="003714A8">
        <w:t>NMED data for 2017</w:t>
      </w:r>
      <w:r w:rsidR="00E8645D">
        <w:t xml:space="preserve">. For the 2019 report, </w:t>
      </w:r>
      <w:r w:rsidR="00357D5E" w:rsidRPr="00123082">
        <w:rPr>
          <w:i/>
        </w:rPr>
        <w:t>NMED-AQB Facility Actual Emissions</w:t>
      </w:r>
      <w:r w:rsidR="00B07C46">
        <w:t xml:space="preserve"> were used</w:t>
      </w:r>
      <w:r w:rsidR="00133721">
        <w:t xml:space="preserve"> for all years</w:t>
      </w:r>
      <w:r w:rsidR="00357D5E">
        <w:t xml:space="preserve">. </w:t>
      </w:r>
      <w:r w:rsidR="006905FC">
        <w:t xml:space="preserve">This data is publicly available </w:t>
      </w:r>
      <w:r w:rsidR="004A68FB">
        <w:t xml:space="preserve">through </w:t>
      </w:r>
      <w:r w:rsidR="00B43605" w:rsidRPr="00B43605">
        <w:t>N</w:t>
      </w:r>
      <w:r w:rsidR="00123082">
        <w:t>MED’s</w:t>
      </w:r>
      <w:r w:rsidR="00B43605" w:rsidRPr="00B43605">
        <w:t xml:space="preserve"> </w:t>
      </w:r>
      <w:r w:rsidR="00B43605" w:rsidRPr="00123082">
        <w:rPr>
          <w:i/>
        </w:rPr>
        <w:t>Emissions Analysis Tool</w:t>
      </w:r>
      <w:r w:rsidR="00B43605">
        <w:t xml:space="preserve"> </w:t>
      </w:r>
      <w:hyperlink r:id="rId1" w:history="1">
        <w:r w:rsidR="00443143" w:rsidRPr="00852746">
          <w:rPr>
            <w:rStyle w:val="Hyperlink"/>
          </w:rPr>
          <w:t>https://eatool.air.net.env.nm.gov/aqbeatool/</w:t>
        </w:r>
      </w:hyperlink>
      <w:r w:rsidR="00860D8D">
        <w:t xml:space="preserve">. </w:t>
      </w:r>
    </w:p>
  </w:footnote>
  <w:footnote w:id="5">
    <w:p w14:paraId="2433C244" w14:textId="446E3AC8" w:rsidR="00123082" w:rsidRDefault="00123082">
      <w:pPr>
        <w:pStyle w:val="FootnoteText"/>
      </w:pPr>
      <w:r>
        <w:rPr>
          <w:rStyle w:val="FootnoteReference"/>
        </w:rPr>
        <w:footnoteRef/>
      </w:r>
      <w:r>
        <w:t xml:space="preserve"> The 2018 report mistakenly used the value for 2016 emissions (i.e.</w:t>
      </w:r>
      <w:r w:rsidR="004A7E9E">
        <w:t>,</w:t>
      </w:r>
      <w:r>
        <w:t xml:space="preserve"> 2923) in the place of 2017 emissions</w:t>
      </w:r>
      <w:r w:rsidR="00276D74">
        <w:t xml:space="preserve"> (i.e. 4535.1)</w:t>
      </w:r>
      <w:r>
        <w:t>.</w:t>
      </w:r>
    </w:p>
  </w:footnote>
  <w:footnote w:id="6">
    <w:p w14:paraId="324A7CC0" w14:textId="093D839C" w:rsidR="000240BC" w:rsidRDefault="000240BC">
      <w:pPr>
        <w:pStyle w:val="FootnoteText"/>
      </w:pPr>
      <w:r>
        <w:rPr>
          <w:rStyle w:val="FootnoteReference"/>
        </w:rPr>
        <w:footnoteRef/>
      </w:r>
      <w:r>
        <w:t xml:space="preserve"> Because NMED data </w:t>
      </w:r>
      <w:r w:rsidR="00695A65">
        <w:t>are</w:t>
      </w:r>
      <w:r>
        <w:t xml:space="preserve"> being used for this report as shown in Table 2, the 3-year averages for total SO</w:t>
      </w:r>
      <w:r w:rsidRPr="00C372EE">
        <w:rPr>
          <w:vertAlign w:val="subscript"/>
        </w:rPr>
        <w:t xml:space="preserve">2 </w:t>
      </w:r>
      <w:r>
        <w:t xml:space="preserve"> (tons/year) have been changed accordingly</w:t>
      </w:r>
      <w:r w:rsidR="00695A65">
        <w:t xml:space="preserve"> in Table 3</w:t>
      </w:r>
      <w:r>
        <w:t>.</w:t>
      </w:r>
    </w:p>
  </w:footnote>
  <w:footnote w:id="7">
    <w:p w14:paraId="19AEF6A1" w14:textId="37F259E5" w:rsidR="00EE1037" w:rsidRDefault="00EE1037">
      <w:pPr>
        <w:pStyle w:val="FootnoteText"/>
      </w:pPr>
      <w:r>
        <w:rPr>
          <w:rStyle w:val="FootnoteReference"/>
        </w:rPr>
        <w:footnoteRef/>
      </w:r>
      <w:r>
        <w:t xml:space="preserve"> As indicated in Table </w:t>
      </w:r>
      <w:r w:rsidR="00D751C3">
        <w:t xml:space="preserve">1, the </w:t>
      </w:r>
      <w:r w:rsidR="00A00843">
        <w:t xml:space="preserve">2013 </w:t>
      </w:r>
      <w:r w:rsidR="00D751C3">
        <w:t xml:space="preserve">value for </w:t>
      </w:r>
      <w:r w:rsidR="00D751C3" w:rsidRPr="00D751C3">
        <w:t>Annual 1-hour average SO</w:t>
      </w:r>
      <w:r w:rsidR="00D751C3" w:rsidRPr="00A00843">
        <w:rPr>
          <w:vertAlign w:val="subscript"/>
        </w:rPr>
        <w:t>2</w:t>
      </w:r>
      <w:r w:rsidR="00D751C3" w:rsidRPr="00D751C3">
        <w:t xml:space="preserve"> emissions (lbs./hr.)</w:t>
      </w:r>
      <w:r w:rsidR="00A00843">
        <w:t xml:space="preserve"> </w:t>
      </w:r>
      <w:r w:rsidR="00683256">
        <w:t>in the 2018 report was incorrect</w:t>
      </w:r>
      <w:r w:rsidR="00096AE1">
        <w:t xml:space="preserve"> (i.e. 1627.4)</w:t>
      </w:r>
      <w:r w:rsidR="00683256">
        <w:t>, thus when this value is corrected</w:t>
      </w:r>
      <w:r w:rsidR="00096AE1">
        <w:t xml:space="preserve"> (i.e.</w:t>
      </w:r>
      <w:r w:rsidR="004A7E9E">
        <w:t>,</w:t>
      </w:r>
      <w:r w:rsidR="00096AE1">
        <w:t xml:space="preserve"> 1364.77)</w:t>
      </w:r>
      <w:r w:rsidR="004D1CAF">
        <w:t>,</w:t>
      </w:r>
      <w:r w:rsidR="00683256">
        <w:t xml:space="preserve"> the corresponding </w:t>
      </w:r>
      <w:r w:rsidR="00096AE1">
        <w:t xml:space="preserve">3-year </w:t>
      </w:r>
      <w:r w:rsidR="00DF23BD">
        <w:t>Average 1-hr SO</w:t>
      </w:r>
      <w:r w:rsidR="00DF23BD" w:rsidRPr="00096AE1">
        <w:rPr>
          <w:vertAlign w:val="subscript"/>
        </w:rPr>
        <w:t>2</w:t>
      </w:r>
      <w:r w:rsidR="00DF23BD">
        <w:t xml:space="preserve"> </w:t>
      </w:r>
      <w:r w:rsidR="00783907">
        <w:t xml:space="preserve">(lbs./hr.) </w:t>
      </w:r>
      <w:r w:rsidR="00695A65">
        <w:t xml:space="preserve">for 2013-2015 </w:t>
      </w:r>
      <w:r w:rsidR="008E1F85">
        <w:t xml:space="preserve">in </w:t>
      </w:r>
      <w:r w:rsidR="00695A65">
        <w:t>T</w:t>
      </w:r>
      <w:r w:rsidR="008E1F85">
        <w:t>able</w:t>
      </w:r>
      <w:r w:rsidR="00695A65">
        <w:t xml:space="preserve"> 3</w:t>
      </w:r>
      <w:r w:rsidR="008E1F85">
        <w:t xml:space="preserve"> changes accordingly</w:t>
      </w:r>
      <w:r w:rsidR="004A7E9E">
        <w:t>.</w:t>
      </w:r>
    </w:p>
  </w:footnote>
  <w:footnote w:id="8">
    <w:p w14:paraId="28DBF053" w14:textId="52BA887B" w:rsidR="00660492" w:rsidRDefault="006604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E34C1">
        <w:t xml:space="preserve">The 2018 report used </w:t>
      </w:r>
      <w:r w:rsidR="008A3477">
        <w:t xml:space="preserve">data from the </w:t>
      </w:r>
      <w:r w:rsidR="005379A0">
        <w:t xml:space="preserve">NMED </w:t>
      </w:r>
      <w:r w:rsidR="008A3477">
        <w:t xml:space="preserve">Air Emissions Map and Data at  </w:t>
      </w:r>
      <w:hyperlink r:id="rId2" w:history="1">
        <w:r w:rsidR="00AE1EAC" w:rsidRPr="00852746">
          <w:rPr>
            <w:rStyle w:val="Hyperlink"/>
          </w:rPr>
          <w:t>http://nmaqinow.net/</w:t>
        </w:r>
      </w:hyperlink>
      <w:r w:rsidR="00AE1EAC">
        <w:t xml:space="preserve"> , but this </w:t>
      </w:r>
      <w:r w:rsidR="00AD7465">
        <w:t xml:space="preserve">data </w:t>
      </w:r>
      <w:r w:rsidR="00CE7C21">
        <w:t xml:space="preserve">had </w:t>
      </w:r>
      <w:r w:rsidR="00AD7465">
        <w:t xml:space="preserve">not been </w:t>
      </w:r>
      <w:r w:rsidR="00D27E6C">
        <w:t>certified</w:t>
      </w:r>
      <w:r w:rsidR="00AD7465">
        <w:t xml:space="preserve">. Therefore </w:t>
      </w:r>
      <w:r w:rsidR="001C724D">
        <w:t xml:space="preserve">data in this report has been retrieved from </w:t>
      </w:r>
      <w:r w:rsidRPr="00096AE1">
        <w:rPr>
          <w:i/>
        </w:rPr>
        <w:t>Interactive Map of Air Quality Monitors</w:t>
      </w:r>
      <w:r>
        <w:t xml:space="preserve"> </w:t>
      </w:r>
      <w:hyperlink r:id="rId3" w:history="1">
        <w:r w:rsidRPr="006929D7">
          <w:rPr>
            <w:rStyle w:val="Hyperlink"/>
          </w:rPr>
          <w:t>https://www.epa.gov/outdoor-air-quality-data/interactive-map-air-quality-monitors</w:t>
        </w:r>
      </w:hyperlink>
      <w:r w:rsidR="003B11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006650"/>
      <w:docPartObj>
        <w:docPartGallery w:val="Watermarks"/>
        <w:docPartUnique/>
      </w:docPartObj>
    </w:sdtPr>
    <w:sdtContent>
      <w:p w14:paraId="3148E211" w14:textId="59B82351" w:rsidR="00EF566E" w:rsidRDefault="00EF566E">
        <w:pPr>
          <w:pStyle w:val="Header"/>
        </w:pPr>
        <w:r>
          <w:rPr>
            <w:noProof/>
          </w:rPr>
          <w:pict w14:anchorId="6D2BBD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8E"/>
    <w:rsid w:val="0000074A"/>
    <w:rsid w:val="0000195C"/>
    <w:rsid w:val="000047E3"/>
    <w:rsid w:val="0000529A"/>
    <w:rsid w:val="000059FA"/>
    <w:rsid w:val="00005D69"/>
    <w:rsid w:val="00006518"/>
    <w:rsid w:val="00007D13"/>
    <w:rsid w:val="00007FEC"/>
    <w:rsid w:val="0001198E"/>
    <w:rsid w:val="00013613"/>
    <w:rsid w:val="00013B9D"/>
    <w:rsid w:val="000170B5"/>
    <w:rsid w:val="0002285A"/>
    <w:rsid w:val="000229C6"/>
    <w:rsid w:val="000240BC"/>
    <w:rsid w:val="00026164"/>
    <w:rsid w:val="000273C7"/>
    <w:rsid w:val="0003200E"/>
    <w:rsid w:val="00032748"/>
    <w:rsid w:val="000330ED"/>
    <w:rsid w:val="00033F65"/>
    <w:rsid w:val="00034702"/>
    <w:rsid w:val="00034B31"/>
    <w:rsid w:val="000356F2"/>
    <w:rsid w:val="00042CAC"/>
    <w:rsid w:val="00043D03"/>
    <w:rsid w:val="000463E3"/>
    <w:rsid w:val="00047880"/>
    <w:rsid w:val="0005266B"/>
    <w:rsid w:val="00052C9E"/>
    <w:rsid w:val="00053C05"/>
    <w:rsid w:val="00056281"/>
    <w:rsid w:val="000605A2"/>
    <w:rsid w:val="00061E1C"/>
    <w:rsid w:val="00063D20"/>
    <w:rsid w:val="00065367"/>
    <w:rsid w:val="00066C4B"/>
    <w:rsid w:val="00072231"/>
    <w:rsid w:val="00072AD1"/>
    <w:rsid w:val="00073C15"/>
    <w:rsid w:val="00076326"/>
    <w:rsid w:val="00077297"/>
    <w:rsid w:val="00077EE9"/>
    <w:rsid w:val="00080B06"/>
    <w:rsid w:val="0008104D"/>
    <w:rsid w:val="00081F0B"/>
    <w:rsid w:val="000829FF"/>
    <w:rsid w:val="00082E18"/>
    <w:rsid w:val="00084941"/>
    <w:rsid w:val="00090EA9"/>
    <w:rsid w:val="00092F22"/>
    <w:rsid w:val="000951CF"/>
    <w:rsid w:val="000964E6"/>
    <w:rsid w:val="00096AE1"/>
    <w:rsid w:val="000A0FA1"/>
    <w:rsid w:val="000A15E8"/>
    <w:rsid w:val="000A3CEA"/>
    <w:rsid w:val="000A7B54"/>
    <w:rsid w:val="000B74B0"/>
    <w:rsid w:val="000B74CB"/>
    <w:rsid w:val="000C37C6"/>
    <w:rsid w:val="000C6B03"/>
    <w:rsid w:val="000D2622"/>
    <w:rsid w:val="000D42AB"/>
    <w:rsid w:val="000D4F5C"/>
    <w:rsid w:val="000D5103"/>
    <w:rsid w:val="000D573E"/>
    <w:rsid w:val="000D6ED4"/>
    <w:rsid w:val="000E0CA6"/>
    <w:rsid w:val="000E269E"/>
    <w:rsid w:val="000E4B6B"/>
    <w:rsid w:val="000E5E72"/>
    <w:rsid w:val="000F09DC"/>
    <w:rsid w:val="000F171B"/>
    <w:rsid w:val="000F1B7E"/>
    <w:rsid w:val="000F278E"/>
    <w:rsid w:val="000F4F1E"/>
    <w:rsid w:val="000F5312"/>
    <w:rsid w:val="000F6EBA"/>
    <w:rsid w:val="000F79DF"/>
    <w:rsid w:val="0010029F"/>
    <w:rsid w:val="00105D1C"/>
    <w:rsid w:val="00107891"/>
    <w:rsid w:val="00110534"/>
    <w:rsid w:val="0011345D"/>
    <w:rsid w:val="001137CC"/>
    <w:rsid w:val="00114AED"/>
    <w:rsid w:val="00115D1E"/>
    <w:rsid w:val="00116AB7"/>
    <w:rsid w:val="00123082"/>
    <w:rsid w:val="00125CA4"/>
    <w:rsid w:val="00126090"/>
    <w:rsid w:val="00127BA7"/>
    <w:rsid w:val="00130DBA"/>
    <w:rsid w:val="00130E4B"/>
    <w:rsid w:val="00133721"/>
    <w:rsid w:val="0013533E"/>
    <w:rsid w:val="00135ADD"/>
    <w:rsid w:val="00135B93"/>
    <w:rsid w:val="00136504"/>
    <w:rsid w:val="0013760E"/>
    <w:rsid w:val="00142323"/>
    <w:rsid w:val="00142AE1"/>
    <w:rsid w:val="00142FC2"/>
    <w:rsid w:val="0014466E"/>
    <w:rsid w:val="00150EA2"/>
    <w:rsid w:val="001525D9"/>
    <w:rsid w:val="0015325B"/>
    <w:rsid w:val="00157FCC"/>
    <w:rsid w:val="001603FE"/>
    <w:rsid w:val="00160F61"/>
    <w:rsid w:val="0016282A"/>
    <w:rsid w:val="001635F6"/>
    <w:rsid w:val="00163C60"/>
    <w:rsid w:val="00164278"/>
    <w:rsid w:val="001672CC"/>
    <w:rsid w:val="00170CB9"/>
    <w:rsid w:val="001710C3"/>
    <w:rsid w:val="001727A0"/>
    <w:rsid w:val="001727B8"/>
    <w:rsid w:val="0017367D"/>
    <w:rsid w:val="001748C9"/>
    <w:rsid w:val="00174D65"/>
    <w:rsid w:val="0017722A"/>
    <w:rsid w:val="001835E9"/>
    <w:rsid w:val="001838CD"/>
    <w:rsid w:val="001849F8"/>
    <w:rsid w:val="00185DCE"/>
    <w:rsid w:val="0019020E"/>
    <w:rsid w:val="001940F9"/>
    <w:rsid w:val="00194FD2"/>
    <w:rsid w:val="00197486"/>
    <w:rsid w:val="001A0353"/>
    <w:rsid w:val="001A0934"/>
    <w:rsid w:val="001A112E"/>
    <w:rsid w:val="001A2A88"/>
    <w:rsid w:val="001A479F"/>
    <w:rsid w:val="001A5248"/>
    <w:rsid w:val="001A66D0"/>
    <w:rsid w:val="001A672E"/>
    <w:rsid w:val="001A6A8A"/>
    <w:rsid w:val="001A7A23"/>
    <w:rsid w:val="001B040D"/>
    <w:rsid w:val="001B0E6B"/>
    <w:rsid w:val="001B2E1C"/>
    <w:rsid w:val="001B3565"/>
    <w:rsid w:val="001B4558"/>
    <w:rsid w:val="001C59FA"/>
    <w:rsid w:val="001C724D"/>
    <w:rsid w:val="001D1CF7"/>
    <w:rsid w:val="001D4581"/>
    <w:rsid w:val="001D58C7"/>
    <w:rsid w:val="001D71A2"/>
    <w:rsid w:val="001D7FC4"/>
    <w:rsid w:val="001E2D84"/>
    <w:rsid w:val="001E33D3"/>
    <w:rsid w:val="001E3F74"/>
    <w:rsid w:val="001E4BB9"/>
    <w:rsid w:val="001E50EC"/>
    <w:rsid w:val="001E53E2"/>
    <w:rsid w:val="001E5CEB"/>
    <w:rsid w:val="001E7A11"/>
    <w:rsid w:val="001F0CCD"/>
    <w:rsid w:val="001F13CC"/>
    <w:rsid w:val="001F3871"/>
    <w:rsid w:val="001F39CB"/>
    <w:rsid w:val="001F5E68"/>
    <w:rsid w:val="001F7268"/>
    <w:rsid w:val="001F7F36"/>
    <w:rsid w:val="00201875"/>
    <w:rsid w:val="00202299"/>
    <w:rsid w:val="00202777"/>
    <w:rsid w:val="0020311C"/>
    <w:rsid w:val="00203EBB"/>
    <w:rsid w:val="00203F73"/>
    <w:rsid w:val="002041DE"/>
    <w:rsid w:val="00204911"/>
    <w:rsid w:val="00204CE7"/>
    <w:rsid w:val="002059CE"/>
    <w:rsid w:val="00206657"/>
    <w:rsid w:val="00206D8E"/>
    <w:rsid w:val="00211DD1"/>
    <w:rsid w:val="00213BC2"/>
    <w:rsid w:val="002140B1"/>
    <w:rsid w:val="0021616C"/>
    <w:rsid w:val="002169AA"/>
    <w:rsid w:val="00220B75"/>
    <w:rsid w:val="002219D8"/>
    <w:rsid w:val="002229A0"/>
    <w:rsid w:val="00222BA3"/>
    <w:rsid w:val="002234AF"/>
    <w:rsid w:val="00223A73"/>
    <w:rsid w:val="00223BEA"/>
    <w:rsid w:val="002265FE"/>
    <w:rsid w:val="0023027A"/>
    <w:rsid w:val="0023031A"/>
    <w:rsid w:val="00230A99"/>
    <w:rsid w:val="00231FFF"/>
    <w:rsid w:val="00232E11"/>
    <w:rsid w:val="002348E8"/>
    <w:rsid w:val="002352BB"/>
    <w:rsid w:val="00235F96"/>
    <w:rsid w:val="002376C3"/>
    <w:rsid w:val="00240965"/>
    <w:rsid w:val="00244145"/>
    <w:rsid w:val="0024623A"/>
    <w:rsid w:val="0024635F"/>
    <w:rsid w:val="0024741B"/>
    <w:rsid w:val="00247D5B"/>
    <w:rsid w:val="00251084"/>
    <w:rsid w:val="0025135C"/>
    <w:rsid w:val="00252A92"/>
    <w:rsid w:val="002536C0"/>
    <w:rsid w:val="00257287"/>
    <w:rsid w:val="0026074B"/>
    <w:rsid w:val="00260F15"/>
    <w:rsid w:val="00261232"/>
    <w:rsid w:val="002625AD"/>
    <w:rsid w:val="00266FF0"/>
    <w:rsid w:val="00267B38"/>
    <w:rsid w:val="00270EB3"/>
    <w:rsid w:val="0027184E"/>
    <w:rsid w:val="00272CB1"/>
    <w:rsid w:val="002745C8"/>
    <w:rsid w:val="002750B4"/>
    <w:rsid w:val="00276D74"/>
    <w:rsid w:val="002801B7"/>
    <w:rsid w:val="002819DA"/>
    <w:rsid w:val="00281B82"/>
    <w:rsid w:val="00283431"/>
    <w:rsid w:val="00283433"/>
    <w:rsid w:val="00284444"/>
    <w:rsid w:val="0028490A"/>
    <w:rsid w:val="0028581F"/>
    <w:rsid w:val="00285C44"/>
    <w:rsid w:val="00286AAF"/>
    <w:rsid w:val="00286D7E"/>
    <w:rsid w:val="0029471A"/>
    <w:rsid w:val="002954CA"/>
    <w:rsid w:val="0029785D"/>
    <w:rsid w:val="00297895"/>
    <w:rsid w:val="002A0145"/>
    <w:rsid w:val="002A1621"/>
    <w:rsid w:val="002A5F8C"/>
    <w:rsid w:val="002A7F72"/>
    <w:rsid w:val="002B228A"/>
    <w:rsid w:val="002B27D7"/>
    <w:rsid w:val="002B34B1"/>
    <w:rsid w:val="002B37BB"/>
    <w:rsid w:val="002B4460"/>
    <w:rsid w:val="002B49C2"/>
    <w:rsid w:val="002B5E0E"/>
    <w:rsid w:val="002B71C0"/>
    <w:rsid w:val="002B79F2"/>
    <w:rsid w:val="002C016E"/>
    <w:rsid w:val="002C2686"/>
    <w:rsid w:val="002C37ED"/>
    <w:rsid w:val="002C4D73"/>
    <w:rsid w:val="002D10BB"/>
    <w:rsid w:val="002E210F"/>
    <w:rsid w:val="002E3EFD"/>
    <w:rsid w:val="002E6EF7"/>
    <w:rsid w:val="002E703E"/>
    <w:rsid w:val="002E7120"/>
    <w:rsid w:val="002E75B1"/>
    <w:rsid w:val="002F241E"/>
    <w:rsid w:val="002F3749"/>
    <w:rsid w:val="002F376C"/>
    <w:rsid w:val="002F63C1"/>
    <w:rsid w:val="002F7559"/>
    <w:rsid w:val="002F75D8"/>
    <w:rsid w:val="0030040E"/>
    <w:rsid w:val="00304100"/>
    <w:rsid w:val="003053BD"/>
    <w:rsid w:val="0031151E"/>
    <w:rsid w:val="003117B1"/>
    <w:rsid w:val="00311B88"/>
    <w:rsid w:val="003170AE"/>
    <w:rsid w:val="00320BE1"/>
    <w:rsid w:val="00322783"/>
    <w:rsid w:val="00323317"/>
    <w:rsid w:val="00326869"/>
    <w:rsid w:val="00327FFA"/>
    <w:rsid w:val="003342AE"/>
    <w:rsid w:val="00334B18"/>
    <w:rsid w:val="00340A4F"/>
    <w:rsid w:val="0034295A"/>
    <w:rsid w:val="003437C0"/>
    <w:rsid w:val="00347F85"/>
    <w:rsid w:val="00352DCD"/>
    <w:rsid w:val="0035474B"/>
    <w:rsid w:val="00355349"/>
    <w:rsid w:val="00356BCB"/>
    <w:rsid w:val="00357401"/>
    <w:rsid w:val="00357D5E"/>
    <w:rsid w:val="0036064E"/>
    <w:rsid w:val="00361D28"/>
    <w:rsid w:val="0036206A"/>
    <w:rsid w:val="00362FBB"/>
    <w:rsid w:val="00364254"/>
    <w:rsid w:val="00366F96"/>
    <w:rsid w:val="00367F44"/>
    <w:rsid w:val="003714A8"/>
    <w:rsid w:val="003720C7"/>
    <w:rsid w:val="003741CE"/>
    <w:rsid w:val="00377133"/>
    <w:rsid w:val="00382B09"/>
    <w:rsid w:val="00384DB9"/>
    <w:rsid w:val="00385791"/>
    <w:rsid w:val="00385993"/>
    <w:rsid w:val="00385E50"/>
    <w:rsid w:val="003870F6"/>
    <w:rsid w:val="00387F9D"/>
    <w:rsid w:val="00392233"/>
    <w:rsid w:val="00394914"/>
    <w:rsid w:val="00394BF4"/>
    <w:rsid w:val="00394DD8"/>
    <w:rsid w:val="003967F6"/>
    <w:rsid w:val="003A03C7"/>
    <w:rsid w:val="003A2677"/>
    <w:rsid w:val="003A42D3"/>
    <w:rsid w:val="003B09E5"/>
    <w:rsid w:val="003B11E7"/>
    <w:rsid w:val="003B4CFD"/>
    <w:rsid w:val="003B5D4D"/>
    <w:rsid w:val="003C13A6"/>
    <w:rsid w:val="003C178A"/>
    <w:rsid w:val="003C38CF"/>
    <w:rsid w:val="003C646E"/>
    <w:rsid w:val="003D13DF"/>
    <w:rsid w:val="003D1D0A"/>
    <w:rsid w:val="003D1F86"/>
    <w:rsid w:val="003D2D2D"/>
    <w:rsid w:val="003D5236"/>
    <w:rsid w:val="003E0485"/>
    <w:rsid w:val="003E2F27"/>
    <w:rsid w:val="003E3DB0"/>
    <w:rsid w:val="003E480E"/>
    <w:rsid w:val="003F100F"/>
    <w:rsid w:val="003F78BB"/>
    <w:rsid w:val="00401ACF"/>
    <w:rsid w:val="00403F0F"/>
    <w:rsid w:val="00404B09"/>
    <w:rsid w:val="00406327"/>
    <w:rsid w:val="00407CD1"/>
    <w:rsid w:val="00414448"/>
    <w:rsid w:val="00417227"/>
    <w:rsid w:val="004220F3"/>
    <w:rsid w:val="0042218A"/>
    <w:rsid w:val="00422876"/>
    <w:rsid w:val="00423266"/>
    <w:rsid w:val="00425BE1"/>
    <w:rsid w:val="004275F4"/>
    <w:rsid w:val="0043039F"/>
    <w:rsid w:val="00431ED2"/>
    <w:rsid w:val="00432AA2"/>
    <w:rsid w:val="00433A95"/>
    <w:rsid w:val="00434A6E"/>
    <w:rsid w:val="00434BF0"/>
    <w:rsid w:val="0043768E"/>
    <w:rsid w:val="0043769B"/>
    <w:rsid w:val="00443143"/>
    <w:rsid w:val="00443343"/>
    <w:rsid w:val="00446768"/>
    <w:rsid w:val="00446DDF"/>
    <w:rsid w:val="00447873"/>
    <w:rsid w:val="00454C0F"/>
    <w:rsid w:val="004606A7"/>
    <w:rsid w:val="004615C7"/>
    <w:rsid w:val="00462D16"/>
    <w:rsid w:val="00462D4A"/>
    <w:rsid w:val="00467030"/>
    <w:rsid w:val="004705D5"/>
    <w:rsid w:val="00474780"/>
    <w:rsid w:val="004766D9"/>
    <w:rsid w:val="00477571"/>
    <w:rsid w:val="004800DB"/>
    <w:rsid w:val="00480A62"/>
    <w:rsid w:val="00490254"/>
    <w:rsid w:val="00491675"/>
    <w:rsid w:val="00491CF6"/>
    <w:rsid w:val="00493290"/>
    <w:rsid w:val="00494AFE"/>
    <w:rsid w:val="004953B4"/>
    <w:rsid w:val="00496090"/>
    <w:rsid w:val="004967F6"/>
    <w:rsid w:val="004A0538"/>
    <w:rsid w:val="004A407F"/>
    <w:rsid w:val="004A419C"/>
    <w:rsid w:val="004A68FB"/>
    <w:rsid w:val="004A72D1"/>
    <w:rsid w:val="004A7E9E"/>
    <w:rsid w:val="004A7FC4"/>
    <w:rsid w:val="004B117F"/>
    <w:rsid w:val="004B47FC"/>
    <w:rsid w:val="004B49E4"/>
    <w:rsid w:val="004B75AB"/>
    <w:rsid w:val="004C0D0C"/>
    <w:rsid w:val="004C25C3"/>
    <w:rsid w:val="004C36E9"/>
    <w:rsid w:val="004C56D4"/>
    <w:rsid w:val="004C6E6F"/>
    <w:rsid w:val="004C72B2"/>
    <w:rsid w:val="004D18E0"/>
    <w:rsid w:val="004D1CAF"/>
    <w:rsid w:val="004D277E"/>
    <w:rsid w:val="004D3C9B"/>
    <w:rsid w:val="004D50B6"/>
    <w:rsid w:val="004D550B"/>
    <w:rsid w:val="004D75CD"/>
    <w:rsid w:val="004E0197"/>
    <w:rsid w:val="004E1D9B"/>
    <w:rsid w:val="004E34C1"/>
    <w:rsid w:val="004E3877"/>
    <w:rsid w:val="004E4EFC"/>
    <w:rsid w:val="004E5823"/>
    <w:rsid w:val="004E737C"/>
    <w:rsid w:val="004F0DA8"/>
    <w:rsid w:val="004F2444"/>
    <w:rsid w:val="004F29FF"/>
    <w:rsid w:val="004F2E90"/>
    <w:rsid w:val="004F389B"/>
    <w:rsid w:val="004F4290"/>
    <w:rsid w:val="005000E4"/>
    <w:rsid w:val="00501081"/>
    <w:rsid w:val="00504C38"/>
    <w:rsid w:val="00504CDC"/>
    <w:rsid w:val="00507828"/>
    <w:rsid w:val="00511009"/>
    <w:rsid w:val="0051203B"/>
    <w:rsid w:val="00513DC0"/>
    <w:rsid w:val="005150D2"/>
    <w:rsid w:val="0051643A"/>
    <w:rsid w:val="005164F9"/>
    <w:rsid w:val="00516D81"/>
    <w:rsid w:val="00526054"/>
    <w:rsid w:val="00526F2F"/>
    <w:rsid w:val="00530058"/>
    <w:rsid w:val="005319BA"/>
    <w:rsid w:val="00532F7E"/>
    <w:rsid w:val="00534FBD"/>
    <w:rsid w:val="0053673D"/>
    <w:rsid w:val="00536E58"/>
    <w:rsid w:val="005379A0"/>
    <w:rsid w:val="00537D8A"/>
    <w:rsid w:val="0054213D"/>
    <w:rsid w:val="0054323E"/>
    <w:rsid w:val="00543514"/>
    <w:rsid w:val="00543FEA"/>
    <w:rsid w:val="0054436A"/>
    <w:rsid w:val="00550ACF"/>
    <w:rsid w:val="00550DCC"/>
    <w:rsid w:val="005518EF"/>
    <w:rsid w:val="00551960"/>
    <w:rsid w:val="00553F93"/>
    <w:rsid w:val="00554C64"/>
    <w:rsid w:val="00554EAC"/>
    <w:rsid w:val="0055598F"/>
    <w:rsid w:val="00560CEC"/>
    <w:rsid w:val="00560D5D"/>
    <w:rsid w:val="005615EE"/>
    <w:rsid w:val="00561B8B"/>
    <w:rsid w:val="00562019"/>
    <w:rsid w:val="005621AB"/>
    <w:rsid w:val="00563DEF"/>
    <w:rsid w:val="005648D3"/>
    <w:rsid w:val="00565274"/>
    <w:rsid w:val="00565AA5"/>
    <w:rsid w:val="005662DE"/>
    <w:rsid w:val="00566A80"/>
    <w:rsid w:val="00572939"/>
    <w:rsid w:val="00572C70"/>
    <w:rsid w:val="005731AE"/>
    <w:rsid w:val="00574176"/>
    <w:rsid w:val="00575D29"/>
    <w:rsid w:val="0057623E"/>
    <w:rsid w:val="00576B3E"/>
    <w:rsid w:val="00577A69"/>
    <w:rsid w:val="00582C14"/>
    <w:rsid w:val="00583C3D"/>
    <w:rsid w:val="00583FFE"/>
    <w:rsid w:val="00585A67"/>
    <w:rsid w:val="00585C45"/>
    <w:rsid w:val="00586207"/>
    <w:rsid w:val="005863FE"/>
    <w:rsid w:val="00586E3D"/>
    <w:rsid w:val="00591B30"/>
    <w:rsid w:val="00591CA8"/>
    <w:rsid w:val="00592F7F"/>
    <w:rsid w:val="00594FE8"/>
    <w:rsid w:val="005954DE"/>
    <w:rsid w:val="005A0FC1"/>
    <w:rsid w:val="005A125D"/>
    <w:rsid w:val="005A4996"/>
    <w:rsid w:val="005B5D76"/>
    <w:rsid w:val="005B7520"/>
    <w:rsid w:val="005C0563"/>
    <w:rsid w:val="005C161B"/>
    <w:rsid w:val="005C365A"/>
    <w:rsid w:val="005C4E2C"/>
    <w:rsid w:val="005C7186"/>
    <w:rsid w:val="005C790C"/>
    <w:rsid w:val="005C7AF4"/>
    <w:rsid w:val="005D1FB5"/>
    <w:rsid w:val="005D20B4"/>
    <w:rsid w:val="005D2BD0"/>
    <w:rsid w:val="005D3C96"/>
    <w:rsid w:val="005D404F"/>
    <w:rsid w:val="005D4A69"/>
    <w:rsid w:val="005D7AC6"/>
    <w:rsid w:val="005E6A8D"/>
    <w:rsid w:val="005F0C0D"/>
    <w:rsid w:val="005F23AF"/>
    <w:rsid w:val="005F2B54"/>
    <w:rsid w:val="005F3039"/>
    <w:rsid w:val="005F3F13"/>
    <w:rsid w:val="005F4968"/>
    <w:rsid w:val="005F5988"/>
    <w:rsid w:val="005F64DC"/>
    <w:rsid w:val="005F677D"/>
    <w:rsid w:val="006011C9"/>
    <w:rsid w:val="006046A2"/>
    <w:rsid w:val="00607C96"/>
    <w:rsid w:val="00610888"/>
    <w:rsid w:val="006109AF"/>
    <w:rsid w:val="00611513"/>
    <w:rsid w:val="00611C01"/>
    <w:rsid w:val="0061289E"/>
    <w:rsid w:val="00612D35"/>
    <w:rsid w:val="006152E7"/>
    <w:rsid w:val="006164B6"/>
    <w:rsid w:val="00621F41"/>
    <w:rsid w:val="00625CE3"/>
    <w:rsid w:val="00625D82"/>
    <w:rsid w:val="006270BF"/>
    <w:rsid w:val="006311B3"/>
    <w:rsid w:val="00633A75"/>
    <w:rsid w:val="00634FD8"/>
    <w:rsid w:val="006358E5"/>
    <w:rsid w:val="00637671"/>
    <w:rsid w:val="00637F68"/>
    <w:rsid w:val="00640FFC"/>
    <w:rsid w:val="00642ACB"/>
    <w:rsid w:val="00645609"/>
    <w:rsid w:val="00646157"/>
    <w:rsid w:val="006468FB"/>
    <w:rsid w:val="00646A82"/>
    <w:rsid w:val="00650816"/>
    <w:rsid w:val="00656287"/>
    <w:rsid w:val="00657CE6"/>
    <w:rsid w:val="00660492"/>
    <w:rsid w:val="0066120C"/>
    <w:rsid w:val="00663B81"/>
    <w:rsid w:val="00664B94"/>
    <w:rsid w:val="00664E58"/>
    <w:rsid w:val="00665C5F"/>
    <w:rsid w:val="0066659B"/>
    <w:rsid w:val="0066680C"/>
    <w:rsid w:val="00667372"/>
    <w:rsid w:val="00667B9B"/>
    <w:rsid w:val="0067099C"/>
    <w:rsid w:val="00671350"/>
    <w:rsid w:val="006719A5"/>
    <w:rsid w:val="00671D3D"/>
    <w:rsid w:val="006723B5"/>
    <w:rsid w:val="006729B1"/>
    <w:rsid w:val="00672DB9"/>
    <w:rsid w:val="00675A22"/>
    <w:rsid w:val="00676985"/>
    <w:rsid w:val="00681149"/>
    <w:rsid w:val="00683256"/>
    <w:rsid w:val="00685728"/>
    <w:rsid w:val="0068664A"/>
    <w:rsid w:val="0068784D"/>
    <w:rsid w:val="00687FFB"/>
    <w:rsid w:val="006905FC"/>
    <w:rsid w:val="006931BA"/>
    <w:rsid w:val="00693BB7"/>
    <w:rsid w:val="00693C1A"/>
    <w:rsid w:val="00694337"/>
    <w:rsid w:val="00694745"/>
    <w:rsid w:val="00694D6A"/>
    <w:rsid w:val="00695A65"/>
    <w:rsid w:val="00695E97"/>
    <w:rsid w:val="00697855"/>
    <w:rsid w:val="006A068B"/>
    <w:rsid w:val="006A0896"/>
    <w:rsid w:val="006A0E62"/>
    <w:rsid w:val="006A123D"/>
    <w:rsid w:val="006A77B4"/>
    <w:rsid w:val="006B0DD8"/>
    <w:rsid w:val="006B2682"/>
    <w:rsid w:val="006B361F"/>
    <w:rsid w:val="006B3B2A"/>
    <w:rsid w:val="006B5232"/>
    <w:rsid w:val="006B5698"/>
    <w:rsid w:val="006B5DDB"/>
    <w:rsid w:val="006B78DF"/>
    <w:rsid w:val="006C1B58"/>
    <w:rsid w:val="006C2855"/>
    <w:rsid w:val="006C35E3"/>
    <w:rsid w:val="006C3BDE"/>
    <w:rsid w:val="006C58C6"/>
    <w:rsid w:val="006C64DE"/>
    <w:rsid w:val="006C696B"/>
    <w:rsid w:val="006C6CD0"/>
    <w:rsid w:val="006D4F84"/>
    <w:rsid w:val="006D6640"/>
    <w:rsid w:val="006E02A0"/>
    <w:rsid w:val="006E2134"/>
    <w:rsid w:val="006E22EA"/>
    <w:rsid w:val="006E5DD6"/>
    <w:rsid w:val="006E7DD4"/>
    <w:rsid w:val="006E7E1A"/>
    <w:rsid w:val="006F0457"/>
    <w:rsid w:val="006F1951"/>
    <w:rsid w:val="006F30E4"/>
    <w:rsid w:val="006F337B"/>
    <w:rsid w:val="006F4D5E"/>
    <w:rsid w:val="00701483"/>
    <w:rsid w:val="00701A1E"/>
    <w:rsid w:val="00702A66"/>
    <w:rsid w:val="00702DEF"/>
    <w:rsid w:val="00703090"/>
    <w:rsid w:val="00703766"/>
    <w:rsid w:val="00703D0C"/>
    <w:rsid w:val="00710BAB"/>
    <w:rsid w:val="00710FBD"/>
    <w:rsid w:val="0071187A"/>
    <w:rsid w:val="00715093"/>
    <w:rsid w:val="0072006B"/>
    <w:rsid w:val="00725356"/>
    <w:rsid w:val="00725A6D"/>
    <w:rsid w:val="007267FA"/>
    <w:rsid w:val="007271E7"/>
    <w:rsid w:val="007318D7"/>
    <w:rsid w:val="00733C74"/>
    <w:rsid w:val="007350BC"/>
    <w:rsid w:val="00736ADF"/>
    <w:rsid w:val="007372C4"/>
    <w:rsid w:val="00740197"/>
    <w:rsid w:val="007409C9"/>
    <w:rsid w:val="00742341"/>
    <w:rsid w:val="00742374"/>
    <w:rsid w:val="00742B4B"/>
    <w:rsid w:val="0074583F"/>
    <w:rsid w:val="00745A73"/>
    <w:rsid w:val="0074663A"/>
    <w:rsid w:val="00751557"/>
    <w:rsid w:val="00754557"/>
    <w:rsid w:val="007562AF"/>
    <w:rsid w:val="00757404"/>
    <w:rsid w:val="00757E40"/>
    <w:rsid w:val="007613A8"/>
    <w:rsid w:val="00762AFD"/>
    <w:rsid w:val="00765117"/>
    <w:rsid w:val="0077144B"/>
    <w:rsid w:val="00771842"/>
    <w:rsid w:val="00771952"/>
    <w:rsid w:val="00771E4C"/>
    <w:rsid w:val="0077317B"/>
    <w:rsid w:val="00774428"/>
    <w:rsid w:val="007754D5"/>
    <w:rsid w:val="007761AE"/>
    <w:rsid w:val="00777B1C"/>
    <w:rsid w:val="00780A98"/>
    <w:rsid w:val="00783907"/>
    <w:rsid w:val="00785FC2"/>
    <w:rsid w:val="00787263"/>
    <w:rsid w:val="0078782E"/>
    <w:rsid w:val="00787D6D"/>
    <w:rsid w:val="00787FED"/>
    <w:rsid w:val="00790672"/>
    <w:rsid w:val="007967F7"/>
    <w:rsid w:val="007A29D8"/>
    <w:rsid w:val="007A370D"/>
    <w:rsid w:val="007A4CB3"/>
    <w:rsid w:val="007A525C"/>
    <w:rsid w:val="007A7B5C"/>
    <w:rsid w:val="007B2C2F"/>
    <w:rsid w:val="007B2F6A"/>
    <w:rsid w:val="007B38A7"/>
    <w:rsid w:val="007B4072"/>
    <w:rsid w:val="007B6785"/>
    <w:rsid w:val="007C1F0E"/>
    <w:rsid w:val="007C24CF"/>
    <w:rsid w:val="007C2CD1"/>
    <w:rsid w:val="007C3CF6"/>
    <w:rsid w:val="007C7958"/>
    <w:rsid w:val="007D061D"/>
    <w:rsid w:val="007E20FB"/>
    <w:rsid w:val="007E272D"/>
    <w:rsid w:val="007E44E1"/>
    <w:rsid w:val="007E5710"/>
    <w:rsid w:val="007E67E3"/>
    <w:rsid w:val="007E6AA4"/>
    <w:rsid w:val="007E733C"/>
    <w:rsid w:val="007F2220"/>
    <w:rsid w:val="007F55AE"/>
    <w:rsid w:val="007F595C"/>
    <w:rsid w:val="007F5AEC"/>
    <w:rsid w:val="007F71AA"/>
    <w:rsid w:val="007F7D4E"/>
    <w:rsid w:val="00800403"/>
    <w:rsid w:val="00800849"/>
    <w:rsid w:val="0080385B"/>
    <w:rsid w:val="00805868"/>
    <w:rsid w:val="008136A1"/>
    <w:rsid w:val="008137BA"/>
    <w:rsid w:val="00814067"/>
    <w:rsid w:val="00814DC2"/>
    <w:rsid w:val="0081519D"/>
    <w:rsid w:val="00826FBB"/>
    <w:rsid w:val="008306A3"/>
    <w:rsid w:val="0083160E"/>
    <w:rsid w:val="00832FF4"/>
    <w:rsid w:val="0083597A"/>
    <w:rsid w:val="0083687D"/>
    <w:rsid w:val="008369D0"/>
    <w:rsid w:val="00844A6E"/>
    <w:rsid w:val="00845A7B"/>
    <w:rsid w:val="008479F7"/>
    <w:rsid w:val="008500D9"/>
    <w:rsid w:val="00850901"/>
    <w:rsid w:val="00850E44"/>
    <w:rsid w:val="008510B3"/>
    <w:rsid w:val="00851BC4"/>
    <w:rsid w:val="008578E6"/>
    <w:rsid w:val="00857AE0"/>
    <w:rsid w:val="00860CC3"/>
    <w:rsid w:val="00860D8D"/>
    <w:rsid w:val="008613E6"/>
    <w:rsid w:val="00862CA0"/>
    <w:rsid w:val="00863939"/>
    <w:rsid w:val="00866D2E"/>
    <w:rsid w:val="008712C6"/>
    <w:rsid w:val="00873876"/>
    <w:rsid w:val="00875313"/>
    <w:rsid w:val="00880F3F"/>
    <w:rsid w:val="00881E29"/>
    <w:rsid w:val="008848DD"/>
    <w:rsid w:val="00885FDD"/>
    <w:rsid w:val="008868E5"/>
    <w:rsid w:val="00892A7C"/>
    <w:rsid w:val="00894590"/>
    <w:rsid w:val="00896A3B"/>
    <w:rsid w:val="008A00DA"/>
    <w:rsid w:val="008A0AFA"/>
    <w:rsid w:val="008A0FA8"/>
    <w:rsid w:val="008A3477"/>
    <w:rsid w:val="008A4AB4"/>
    <w:rsid w:val="008A4C1B"/>
    <w:rsid w:val="008A5C24"/>
    <w:rsid w:val="008A6199"/>
    <w:rsid w:val="008A632A"/>
    <w:rsid w:val="008A6BC2"/>
    <w:rsid w:val="008B38B3"/>
    <w:rsid w:val="008B55A3"/>
    <w:rsid w:val="008B73A3"/>
    <w:rsid w:val="008C01CF"/>
    <w:rsid w:val="008C2514"/>
    <w:rsid w:val="008C3EE8"/>
    <w:rsid w:val="008C410C"/>
    <w:rsid w:val="008C5A9D"/>
    <w:rsid w:val="008C7968"/>
    <w:rsid w:val="008D0F01"/>
    <w:rsid w:val="008D0F64"/>
    <w:rsid w:val="008D155B"/>
    <w:rsid w:val="008D23B2"/>
    <w:rsid w:val="008D2C00"/>
    <w:rsid w:val="008D2E20"/>
    <w:rsid w:val="008D545F"/>
    <w:rsid w:val="008D5DE6"/>
    <w:rsid w:val="008E194D"/>
    <w:rsid w:val="008E1F85"/>
    <w:rsid w:val="008E2EE0"/>
    <w:rsid w:val="008E60EF"/>
    <w:rsid w:val="008F006E"/>
    <w:rsid w:val="008F1896"/>
    <w:rsid w:val="008F2169"/>
    <w:rsid w:val="008F500D"/>
    <w:rsid w:val="00901E34"/>
    <w:rsid w:val="009028E0"/>
    <w:rsid w:val="0090365D"/>
    <w:rsid w:val="00903CA9"/>
    <w:rsid w:val="00904961"/>
    <w:rsid w:val="009054FE"/>
    <w:rsid w:val="00914D32"/>
    <w:rsid w:val="0091637D"/>
    <w:rsid w:val="009172A3"/>
    <w:rsid w:val="00917585"/>
    <w:rsid w:val="00917D10"/>
    <w:rsid w:val="009217B7"/>
    <w:rsid w:val="00922606"/>
    <w:rsid w:val="009230A7"/>
    <w:rsid w:val="009265FF"/>
    <w:rsid w:val="00927F75"/>
    <w:rsid w:val="00930718"/>
    <w:rsid w:val="00930DB5"/>
    <w:rsid w:val="009365F5"/>
    <w:rsid w:val="00936BFA"/>
    <w:rsid w:val="0093700E"/>
    <w:rsid w:val="0093788E"/>
    <w:rsid w:val="00940160"/>
    <w:rsid w:val="00942A49"/>
    <w:rsid w:val="00944879"/>
    <w:rsid w:val="00944D20"/>
    <w:rsid w:val="00944FAF"/>
    <w:rsid w:val="009468AB"/>
    <w:rsid w:val="00950D23"/>
    <w:rsid w:val="0095230C"/>
    <w:rsid w:val="00952914"/>
    <w:rsid w:val="00953FE3"/>
    <w:rsid w:val="009543C0"/>
    <w:rsid w:val="00954F3C"/>
    <w:rsid w:val="00955D1F"/>
    <w:rsid w:val="00957123"/>
    <w:rsid w:val="00960ECD"/>
    <w:rsid w:val="00964D16"/>
    <w:rsid w:val="00966BBD"/>
    <w:rsid w:val="00966E99"/>
    <w:rsid w:val="00967349"/>
    <w:rsid w:val="00972CD4"/>
    <w:rsid w:val="00977313"/>
    <w:rsid w:val="00982956"/>
    <w:rsid w:val="00984820"/>
    <w:rsid w:val="00985276"/>
    <w:rsid w:val="0099087D"/>
    <w:rsid w:val="00992EA9"/>
    <w:rsid w:val="00993264"/>
    <w:rsid w:val="009A28B2"/>
    <w:rsid w:val="009A4DFA"/>
    <w:rsid w:val="009A525A"/>
    <w:rsid w:val="009A54F3"/>
    <w:rsid w:val="009A6196"/>
    <w:rsid w:val="009A63CF"/>
    <w:rsid w:val="009B1E7B"/>
    <w:rsid w:val="009B2A35"/>
    <w:rsid w:val="009B51D5"/>
    <w:rsid w:val="009C04D6"/>
    <w:rsid w:val="009C05BA"/>
    <w:rsid w:val="009C0E7D"/>
    <w:rsid w:val="009C2E97"/>
    <w:rsid w:val="009C4426"/>
    <w:rsid w:val="009C4C33"/>
    <w:rsid w:val="009C4C87"/>
    <w:rsid w:val="009D0486"/>
    <w:rsid w:val="009D4C60"/>
    <w:rsid w:val="009D6730"/>
    <w:rsid w:val="009D6EE3"/>
    <w:rsid w:val="009D7096"/>
    <w:rsid w:val="009E0EF8"/>
    <w:rsid w:val="009E3CF2"/>
    <w:rsid w:val="009E7FD7"/>
    <w:rsid w:val="009F066A"/>
    <w:rsid w:val="009F2A02"/>
    <w:rsid w:val="009F412E"/>
    <w:rsid w:val="009F4168"/>
    <w:rsid w:val="009F42E5"/>
    <w:rsid w:val="009F4B9C"/>
    <w:rsid w:val="009F762F"/>
    <w:rsid w:val="009F765E"/>
    <w:rsid w:val="00A00132"/>
    <w:rsid w:val="00A0071E"/>
    <w:rsid w:val="00A00843"/>
    <w:rsid w:val="00A0198A"/>
    <w:rsid w:val="00A04224"/>
    <w:rsid w:val="00A07852"/>
    <w:rsid w:val="00A07F48"/>
    <w:rsid w:val="00A12063"/>
    <w:rsid w:val="00A12497"/>
    <w:rsid w:val="00A20348"/>
    <w:rsid w:val="00A211DC"/>
    <w:rsid w:val="00A21C27"/>
    <w:rsid w:val="00A241CE"/>
    <w:rsid w:val="00A2625D"/>
    <w:rsid w:val="00A26ACC"/>
    <w:rsid w:val="00A275E0"/>
    <w:rsid w:val="00A27B10"/>
    <w:rsid w:val="00A326C6"/>
    <w:rsid w:val="00A334AE"/>
    <w:rsid w:val="00A33CCD"/>
    <w:rsid w:val="00A35C01"/>
    <w:rsid w:val="00A364E0"/>
    <w:rsid w:val="00A36D03"/>
    <w:rsid w:val="00A415F0"/>
    <w:rsid w:val="00A431E2"/>
    <w:rsid w:val="00A45018"/>
    <w:rsid w:val="00A4655A"/>
    <w:rsid w:val="00A503A8"/>
    <w:rsid w:val="00A5081C"/>
    <w:rsid w:val="00A508E2"/>
    <w:rsid w:val="00A5211E"/>
    <w:rsid w:val="00A53BD7"/>
    <w:rsid w:val="00A554DC"/>
    <w:rsid w:val="00A5671F"/>
    <w:rsid w:val="00A56D85"/>
    <w:rsid w:val="00A57EC7"/>
    <w:rsid w:val="00A6155C"/>
    <w:rsid w:val="00A6240E"/>
    <w:rsid w:val="00A6576A"/>
    <w:rsid w:val="00A65919"/>
    <w:rsid w:val="00A67E5A"/>
    <w:rsid w:val="00A7137D"/>
    <w:rsid w:val="00A71BD9"/>
    <w:rsid w:val="00A729B4"/>
    <w:rsid w:val="00A75B91"/>
    <w:rsid w:val="00A771F2"/>
    <w:rsid w:val="00A80568"/>
    <w:rsid w:val="00A807D3"/>
    <w:rsid w:val="00A84212"/>
    <w:rsid w:val="00A846CC"/>
    <w:rsid w:val="00A8511F"/>
    <w:rsid w:val="00A85480"/>
    <w:rsid w:val="00A85C1B"/>
    <w:rsid w:val="00A85F91"/>
    <w:rsid w:val="00A860DE"/>
    <w:rsid w:val="00A871D6"/>
    <w:rsid w:val="00A876EB"/>
    <w:rsid w:val="00A90B68"/>
    <w:rsid w:val="00A912FE"/>
    <w:rsid w:val="00A92DD2"/>
    <w:rsid w:val="00A938B1"/>
    <w:rsid w:val="00A9470E"/>
    <w:rsid w:val="00A95328"/>
    <w:rsid w:val="00A97772"/>
    <w:rsid w:val="00AA050A"/>
    <w:rsid w:val="00AA0A07"/>
    <w:rsid w:val="00AA2D6A"/>
    <w:rsid w:val="00AA3CE8"/>
    <w:rsid w:val="00AB021D"/>
    <w:rsid w:val="00AB0E5A"/>
    <w:rsid w:val="00AB18CD"/>
    <w:rsid w:val="00AB3BED"/>
    <w:rsid w:val="00AB405A"/>
    <w:rsid w:val="00AB4EEE"/>
    <w:rsid w:val="00AB52B2"/>
    <w:rsid w:val="00AB6394"/>
    <w:rsid w:val="00AC4A6F"/>
    <w:rsid w:val="00AC51DF"/>
    <w:rsid w:val="00AC6559"/>
    <w:rsid w:val="00AC7798"/>
    <w:rsid w:val="00AD01DD"/>
    <w:rsid w:val="00AD3014"/>
    <w:rsid w:val="00AD34DA"/>
    <w:rsid w:val="00AD34F1"/>
    <w:rsid w:val="00AD6932"/>
    <w:rsid w:val="00AD7465"/>
    <w:rsid w:val="00AD76D0"/>
    <w:rsid w:val="00AE13B4"/>
    <w:rsid w:val="00AE1EAC"/>
    <w:rsid w:val="00AE244E"/>
    <w:rsid w:val="00AE26F6"/>
    <w:rsid w:val="00AE3FC7"/>
    <w:rsid w:val="00AE49A2"/>
    <w:rsid w:val="00AE553F"/>
    <w:rsid w:val="00AE6170"/>
    <w:rsid w:val="00AE61E3"/>
    <w:rsid w:val="00AE68B2"/>
    <w:rsid w:val="00AE7400"/>
    <w:rsid w:val="00AF0951"/>
    <w:rsid w:val="00AF0A0B"/>
    <w:rsid w:val="00AF0C95"/>
    <w:rsid w:val="00AF1D52"/>
    <w:rsid w:val="00AF1F50"/>
    <w:rsid w:val="00AF23BA"/>
    <w:rsid w:val="00AF3BFE"/>
    <w:rsid w:val="00AF515F"/>
    <w:rsid w:val="00AF5640"/>
    <w:rsid w:val="00AF5E74"/>
    <w:rsid w:val="00AF65E2"/>
    <w:rsid w:val="00AF67E2"/>
    <w:rsid w:val="00AF6A23"/>
    <w:rsid w:val="00B004D8"/>
    <w:rsid w:val="00B00D62"/>
    <w:rsid w:val="00B01234"/>
    <w:rsid w:val="00B01B9C"/>
    <w:rsid w:val="00B01F73"/>
    <w:rsid w:val="00B05667"/>
    <w:rsid w:val="00B05830"/>
    <w:rsid w:val="00B06C72"/>
    <w:rsid w:val="00B07B76"/>
    <w:rsid w:val="00B07C46"/>
    <w:rsid w:val="00B10D12"/>
    <w:rsid w:val="00B132C2"/>
    <w:rsid w:val="00B137ED"/>
    <w:rsid w:val="00B14A23"/>
    <w:rsid w:val="00B160F7"/>
    <w:rsid w:val="00B17216"/>
    <w:rsid w:val="00B22E1A"/>
    <w:rsid w:val="00B25A97"/>
    <w:rsid w:val="00B27A3F"/>
    <w:rsid w:val="00B27E7A"/>
    <w:rsid w:val="00B30297"/>
    <w:rsid w:val="00B3135A"/>
    <w:rsid w:val="00B32F75"/>
    <w:rsid w:val="00B33235"/>
    <w:rsid w:val="00B33A98"/>
    <w:rsid w:val="00B35D2F"/>
    <w:rsid w:val="00B37005"/>
    <w:rsid w:val="00B37E8E"/>
    <w:rsid w:val="00B406A1"/>
    <w:rsid w:val="00B4168C"/>
    <w:rsid w:val="00B41A0D"/>
    <w:rsid w:val="00B4251F"/>
    <w:rsid w:val="00B42FE0"/>
    <w:rsid w:val="00B43605"/>
    <w:rsid w:val="00B46431"/>
    <w:rsid w:val="00B4676B"/>
    <w:rsid w:val="00B5161A"/>
    <w:rsid w:val="00B525AC"/>
    <w:rsid w:val="00B55270"/>
    <w:rsid w:val="00B566AE"/>
    <w:rsid w:val="00B5718C"/>
    <w:rsid w:val="00B57832"/>
    <w:rsid w:val="00B57F78"/>
    <w:rsid w:val="00B60003"/>
    <w:rsid w:val="00B611D8"/>
    <w:rsid w:val="00B616BF"/>
    <w:rsid w:val="00B62793"/>
    <w:rsid w:val="00B6392E"/>
    <w:rsid w:val="00B63E42"/>
    <w:rsid w:val="00B66613"/>
    <w:rsid w:val="00B6739D"/>
    <w:rsid w:val="00B673E5"/>
    <w:rsid w:val="00B71EB9"/>
    <w:rsid w:val="00B7577B"/>
    <w:rsid w:val="00B762CF"/>
    <w:rsid w:val="00B80392"/>
    <w:rsid w:val="00B80A27"/>
    <w:rsid w:val="00B83ABF"/>
    <w:rsid w:val="00B83B15"/>
    <w:rsid w:val="00B8552A"/>
    <w:rsid w:val="00B8604D"/>
    <w:rsid w:val="00B90900"/>
    <w:rsid w:val="00B91BD2"/>
    <w:rsid w:val="00B924FC"/>
    <w:rsid w:val="00B931CA"/>
    <w:rsid w:val="00B936FD"/>
    <w:rsid w:val="00B93C60"/>
    <w:rsid w:val="00B9409F"/>
    <w:rsid w:val="00B942FB"/>
    <w:rsid w:val="00B94AB2"/>
    <w:rsid w:val="00B961B6"/>
    <w:rsid w:val="00B9774C"/>
    <w:rsid w:val="00BA1E3E"/>
    <w:rsid w:val="00BA2D0B"/>
    <w:rsid w:val="00BA5967"/>
    <w:rsid w:val="00BA7F05"/>
    <w:rsid w:val="00BB0158"/>
    <w:rsid w:val="00BB52FC"/>
    <w:rsid w:val="00BC1CE3"/>
    <w:rsid w:val="00BC2FE1"/>
    <w:rsid w:val="00BC3229"/>
    <w:rsid w:val="00BC6839"/>
    <w:rsid w:val="00BC689E"/>
    <w:rsid w:val="00BC6ACA"/>
    <w:rsid w:val="00BC7B97"/>
    <w:rsid w:val="00BD3145"/>
    <w:rsid w:val="00BD3738"/>
    <w:rsid w:val="00BD674A"/>
    <w:rsid w:val="00BE09A2"/>
    <w:rsid w:val="00BE6943"/>
    <w:rsid w:val="00BF19A1"/>
    <w:rsid w:val="00BF3538"/>
    <w:rsid w:val="00BF3554"/>
    <w:rsid w:val="00BF4AF2"/>
    <w:rsid w:val="00BF5A73"/>
    <w:rsid w:val="00BF6DE8"/>
    <w:rsid w:val="00C02AC2"/>
    <w:rsid w:val="00C048B9"/>
    <w:rsid w:val="00C055CD"/>
    <w:rsid w:val="00C07321"/>
    <w:rsid w:val="00C118DD"/>
    <w:rsid w:val="00C1240A"/>
    <w:rsid w:val="00C14A35"/>
    <w:rsid w:val="00C158DF"/>
    <w:rsid w:val="00C168E9"/>
    <w:rsid w:val="00C2009C"/>
    <w:rsid w:val="00C20DBA"/>
    <w:rsid w:val="00C226D1"/>
    <w:rsid w:val="00C24121"/>
    <w:rsid w:val="00C24B96"/>
    <w:rsid w:val="00C24BD9"/>
    <w:rsid w:val="00C24EE9"/>
    <w:rsid w:val="00C25943"/>
    <w:rsid w:val="00C25EBA"/>
    <w:rsid w:val="00C27C9F"/>
    <w:rsid w:val="00C27D9B"/>
    <w:rsid w:val="00C33A17"/>
    <w:rsid w:val="00C3432E"/>
    <w:rsid w:val="00C344D5"/>
    <w:rsid w:val="00C372EE"/>
    <w:rsid w:val="00C403D5"/>
    <w:rsid w:val="00C41A8B"/>
    <w:rsid w:val="00C42162"/>
    <w:rsid w:val="00C422BB"/>
    <w:rsid w:val="00C43246"/>
    <w:rsid w:val="00C43610"/>
    <w:rsid w:val="00C43E3A"/>
    <w:rsid w:val="00C4444C"/>
    <w:rsid w:val="00C46107"/>
    <w:rsid w:val="00C46A76"/>
    <w:rsid w:val="00C47365"/>
    <w:rsid w:val="00C502E0"/>
    <w:rsid w:val="00C5116B"/>
    <w:rsid w:val="00C5244F"/>
    <w:rsid w:val="00C52B7C"/>
    <w:rsid w:val="00C563E0"/>
    <w:rsid w:val="00C56632"/>
    <w:rsid w:val="00C56685"/>
    <w:rsid w:val="00C56A2F"/>
    <w:rsid w:val="00C604B7"/>
    <w:rsid w:val="00C60E8F"/>
    <w:rsid w:val="00C636EE"/>
    <w:rsid w:val="00C65255"/>
    <w:rsid w:val="00C71C0D"/>
    <w:rsid w:val="00C75DDB"/>
    <w:rsid w:val="00C80106"/>
    <w:rsid w:val="00C803D5"/>
    <w:rsid w:val="00C803E1"/>
    <w:rsid w:val="00C80FAF"/>
    <w:rsid w:val="00C80FBE"/>
    <w:rsid w:val="00C81CD7"/>
    <w:rsid w:val="00C83E4E"/>
    <w:rsid w:val="00C846B0"/>
    <w:rsid w:val="00C8517F"/>
    <w:rsid w:val="00C912EE"/>
    <w:rsid w:val="00C913AE"/>
    <w:rsid w:val="00C91593"/>
    <w:rsid w:val="00C9247C"/>
    <w:rsid w:val="00C92F30"/>
    <w:rsid w:val="00C95A05"/>
    <w:rsid w:val="00C96494"/>
    <w:rsid w:val="00C970C7"/>
    <w:rsid w:val="00CA1D86"/>
    <w:rsid w:val="00CA5661"/>
    <w:rsid w:val="00CA7885"/>
    <w:rsid w:val="00CB0BAE"/>
    <w:rsid w:val="00CB2CE2"/>
    <w:rsid w:val="00CB3F74"/>
    <w:rsid w:val="00CB460C"/>
    <w:rsid w:val="00CC349C"/>
    <w:rsid w:val="00CC398B"/>
    <w:rsid w:val="00CC3A25"/>
    <w:rsid w:val="00CC3FC9"/>
    <w:rsid w:val="00CC50FA"/>
    <w:rsid w:val="00CC5101"/>
    <w:rsid w:val="00CC7C23"/>
    <w:rsid w:val="00CD2396"/>
    <w:rsid w:val="00CD3B46"/>
    <w:rsid w:val="00CD4F23"/>
    <w:rsid w:val="00CD62D0"/>
    <w:rsid w:val="00CD6E86"/>
    <w:rsid w:val="00CE224C"/>
    <w:rsid w:val="00CE2C5D"/>
    <w:rsid w:val="00CE2F12"/>
    <w:rsid w:val="00CE4B26"/>
    <w:rsid w:val="00CE535B"/>
    <w:rsid w:val="00CE7C21"/>
    <w:rsid w:val="00CF0260"/>
    <w:rsid w:val="00CF16F4"/>
    <w:rsid w:val="00CF29D1"/>
    <w:rsid w:val="00CF40AF"/>
    <w:rsid w:val="00CF4412"/>
    <w:rsid w:val="00CF6730"/>
    <w:rsid w:val="00CF77AB"/>
    <w:rsid w:val="00D01888"/>
    <w:rsid w:val="00D01F8E"/>
    <w:rsid w:val="00D02EF7"/>
    <w:rsid w:val="00D05A71"/>
    <w:rsid w:val="00D05DF6"/>
    <w:rsid w:val="00D05F84"/>
    <w:rsid w:val="00D06CD4"/>
    <w:rsid w:val="00D114F5"/>
    <w:rsid w:val="00D11954"/>
    <w:rsid w:val="00D145F5"/>
    <w:rsid w:val="00D21294"/>
    <w:rsid w:val="00D22048"/>
    <w:rsid w:val="00D22332"/>
    <w:rsid w:val="00D241EA"/>
    <w:rsid w:val="00D26699"/>
    <w:rsid w:val="00D27E6C"/>
    <w:rsid w:val="00D30DB2"/>
    <w:rsid w:val="00D30DF5"/>
    <w:rsid w:val="00D35458"/>
    <w:rsid w:val="00D35DA3"/>
    <w:rsid w:val="00D3738D"/>
    <w:rsid w:val="00D3740E"/>
    <w:rsid w:val="00D412C7"/>
    <w:rsid w:val="00D41CA7"/>
    <w:rsid w:val="00D41CCF"/>
    <w:rsid w:val="00D41CF3"/>
    <w:rsid w:val="00D44513"/>
    <w:rsid w:val="00D52193"/>
    <w:rsid w:val="00D528B7"/>
    <w:rsid w:val="00D52AA9"/>
    <w:rsid w:val="00D534CA"/>
    <w:rsid w:val="00D54B98"/>
    <w:rsid w:val="00D56E12"/>
    <w:rsid w:val="00D6394D"/>
    <w:rsid w:val="00D66CAE"/>
    <w:rsid w:val="00D70DF7"/>
    <w:rsid w:val="00D72D2F"/>
    <w:rsid w:val="00D735CA"/>
    <w:rsid w:val="00D7397E"/>
    <w:rsid w:val="00D7518A"/>
    <w:rsid w:val="00D751C3"/>
    <w:rsid w:val="00D75EA7"/>
    <w:rsid w:val="00D810FD"/>
    <w:rsid w:val="00D824D8"/>
    <w:rsid w:val="00D83BF6"/>
    <w:rsid w:val="00D87211"/>
    <w:rsid w:val="00D91EAF"/>
    <w:rsid w:val="00D93DD2"/>
    <w:rsid w:val="00D9613A"/>
    <w:rsid w:val="00DA056B"/>
    <w:rsid w:val="00DA26A6"/>
    <w:rsid w:val="00DA414F"/>
    <w:rsid w:val="00DA6C16"/>
    <w:rsid w:val="00DA6F34"/>
    <w:rsid w:val="00DA76BC"/>
    <w:rsid w:val="00DB0906"/>
    <w:rsid w:val="00DB30B9"/>
    <w:rsid w:val="00DB3646"/>
    <w:rsid w:val="00DC0120"/>
    <w:rsid w:val="00DC0A39"/>
    <w:rsid w:val="00DC322F"/>
    <w:rsid w:val="00DC42CD"/>
    <w:rsid w:val="00DC44DF"/>
    <w:rsid w:val="00DC48BB"/>
    <w:rsid w:val="00DC49F3"/>
    <w:rsid w:val="00DC5044"/>
    <w:rsid w:val="00DC543A"/>
    <w:rsid w:val="00DC5D33"/>
    <w:rsid w:val="00DC60CB"/>
    <w:rsid w:val="00DD27F1"/>
    <w:rsid w:val="00DD314B"/>
    <w:rsid w:val="00DD3250"/>
    <w:rsid w:val="00DD3960"/>
    <w:rsid w:val="00DD4444"/>
    <w:rsid w:val="00DD6D75"/>
    <w:rsid w:val="00DD79DA"/>
    <w:rsid w:val="00DE0EB4"/>
    <w:rsid w:val="00DE3777"/>
    <w:rsid w:val="00DE53D9"/>
    <w:rsid w:val="00DE5512"/>
    <w:rsid w:val="00DE5787"/>
    <w:rsid w:val="00DE7511"/>
    <w:rsid w:val="00DE7630"/>
    <w:rsid w:val="00DE78DC"/>
    <w:rsid w:val="00DF159E"/>
    <w:rsid w:val="00DF23BD"/>
    <w:rsid w:val="00DF2C9A"/>
    <w:rsid w:val="00DF2FF6"/>
    <w:rsid w:val="00DF351C"/>
    <w:rsid w:val="00DF3ACE"/>
    <w:rsid w:val="00DF593B"/>
    <w:rsid w:val="00DF633D"/>
    <w:rsid w:val="00E00629"/>
    <w:rsid w:val="00E0277F"/>
    <w:rsid w:val="00E0412D"/>
    <w:rsid w:val="00E06536"/>
    <w:rsid w:val="00E07BE1"/>
    <w:rsid w:val="00E1270D"/>
    <w:rsid w:val="00E1322D"/>
    <w:rsid w:val="00E1373F"/>
    <w:rsid w:val="00E138EB"/>
    <w:rsid w:val="00E1622D"/>
    <w:rsid w:val="00E16941"/>
    <w:rsid w:val="00E16E50"/>
    <w:rsid w:val="00E17D9A"/>
    <w:rsid w:val="00E21993"/>
    <w:rsid w:val="00E21B8F"/>
    <w:rsid w:val="00E22E54"/>
    <w:rsid w:val="00E24BA4"/>
    <w:rsid w:val="00E262EB"/>
    <w:rsid w:val="00E263C2"/>
    <w:rsid w:val="00E32C2D"/>
    <w:rsid w:val="00E33AB6"/>
    <w:rsid w:val="00E36414"/>
    <w:rsid w:val="00E364FC"/>
    <w:rsid w:val="00E40932"/>
    <w:rsid w:val="00E409EA"/>
    <w:rsid w:val="00E42B1D"/>
    <w:rsid w:val="00E46CD0"/>
    <w:rsid w:val="00E521FC"/>
    <w:rsid w:val="00E524B6"/>
    <w:rsid w:val="00E541A7"/>
    <w:rsid w:val="00E5470A"/>
    <w:rsid w:val="00E56125"/>
    <w:rsid w:val="00E5619F"/>
    <w:rsid w:val="00E608B6"/>
    <w:rsid w:val="00E657E2"/>
    <w:rsid w:val="00E6772B"/>
    <w:rsid w:val="00E71504"/>
    <w:rsid w:val="00E719CA"/>
    <w:rsid w:val="00E73FC5"/>
    <w:rsid w:val="00E74E3F"/>
    <w:rsid w:val="00E76F00"/>
    <w:rsid w:val="00E77C69"/>
    <w:rsid w:val="00E829A1"/>
    <w:rsid w:val="00E83FD6"/>
    <w:rsid w:val="00E84A90"/>
    <w:rsid w:val="00E8645D"/>
    <w:rsid w:val="00E86942"/>
    <w:rsid w:val="00E8793A"/>
    <w:rsid w:val="00E92605"/>
    <w:rsid w:val="00E9291E"/>
    <w:rsid w:val="00E92D04"/>
    <w:rsid w:val="00E92ECD"/>
    <w:rsid w:val="00E94EB9"/>
    <w:rsid w:val="00EA3514"/>
    <w:rsid w:val="00EA441E"/>
    <w:rsid w:val="00EA648F"/>
    <w:rsid w:val="00EB32CC"/>
    <w:rsid w:val="00EB54D4"/>
    <w:rsid w:val="00EB7BA6"/>
    <w:rsid w:val="00EC1521"/>
    <w:rsid w:val="00EC1A06"/>
    <w:rsid w:val="00EC23C4"/>
    <w:rsid w:val="00ED0633"/>
    <w:rsid w:val="00ED4454"/>
    <w:rsid w:val="00ED4B66"/>
    <w:rsid w:val="00ED6E01"/>
    <w:rsid w:val="00ED79CE"/>
    <w:rsid w:val="00EE1037"/>
    <w:rsid w:val="00EE2CD9"/>
    <w:rsid w:val="00EE374E"/>
    <w:rsid w:val="00EE3B65"/>
    <w:rsid w:val="00EE42EE"/>
    <w:rsid w:val="00EE4FB2"/>
    <w:rsid w:val="00EE6867"/>
    <w:rsid w:val="00EE6C69"/>
    <w:rsid w:val="00EE6F3A"/>
    <w:rsid w:val="00EF05B9"/>
    <w:rsid w:val="00EF0E0F"/>
    <w:rsid w:val="00EF108C"/>
    <w:rsid w:val="00EF4C19"/>
    <w:rsid w:val="00EF566E"/>
    <w:rsid w:val="00F021AF"/>
    <w:rsid w:val="00F045DB"/>
    <w:rsid w:val="00F061CE"/>
    <w:rsid w:val="00F079FD"/>
    <w:rsid w:val="00F131DB"/>
    <w:rsid w:val="00F13E0A"/>
    <w:rsid w:val="00F177C9"/>
    <w:rsid w:val="00F21682"/>
    <w:rsid w:val="00F2264A"/>
    <w:rsid w:val="00F24094"/>
    <w:rsid w:val="00F26426"/>
    <w:rsid w:val="00F27A63"/>
    <w:rsid w:val="00F33261"/>
    <w:rsid w:val="00F33676"/>
    <w:rsid w:val="00F35BD8"/>
    <w:rsid w:val="00F362C8"/>
    <w:rsid w:val="00F4154A"/>
    <w:rsid w:val="00F43DD5"/>
    <w:rsid w:val="00F43FFA"/>
    <w:rsid w:val="00F44C46"/>
    <w:rsid w:val="00F451C2"/>
    <w:rsid w:val="00F46E60"/>
    <w:rsid w:val="00F4786F"/>
    <w:rsid w:val="00F53B96"/>
    <w:rsid w:val="00F53DB0"/>
    <w:rsid w:val="00F54477"/>
    <w:rsid w:val="00F567D7"/>
    <w:rsid w:val="00F60775"/>
    <w:rsid w:val="00F615C4"/>
    <w:rsid w:val="00F62075"/>
    <w:rsid w:val="00F64494"/>
    <w:rsid w:val="00F65677"/>
    <w:rsid w:val="00F65696"/>
    <w:rsid w:val="00F71EED"/>
    <w:rsid w:val="00F73657"/>
    <w:rsid w:val="00F76335"/>
    <w:rsid w:val="00F76809"/>
    <w:rsid w:val="00F82C87"/>
    <w:rsid w:val="00F84E82"/>
    <w:rsid w:val="00F85CAB"/>
    <w:rsid w:val="00F91212"/>
    <w:rsid w:val="00F9253E"/>
    <w:rsid w:val="00F93562"/>
    <w:rsid w:val="00F950DD"/>
    <w:rsid w:val="00F95AEF"/>
    <w:rsid w:val="00F97DB2"/>
    <w:rsid w:val="00FA10E8"/>
    <w:rsid w:val="00FA1647"/>
    <w:rsid w:val="00FA1666"/>
    <w:rsid w:val="00FA3D75"/>
    <w:rsid w:val="00FA758A"/>
    <w:rsid w:val="00FB00B6"/>
    <w:rsid w:val="00FB3169"/>
    <w:rsid w:val="00FB41A4"/>
    <w:rsid w:val="00FB4B70"/>
    <w:rsid w:val="00FB71FD"/>
    <w:rsid w:val="00FB7627"/>
    <w:rsid w:val="00FC0120"/>
    <w:rsid w:val="00FC01A2"/>
    <w:rsid w:val="00FC03E9"/>
    <w:rsid w:val="00FC0488"/>
    <w:rsid w:val="00FC0985"/>
    <w:rsid w:val="00FC3121"/>
    <w:rsid w:val="00FC4D1F"/>
    <w:rsid w:val="00FC615B"/>
    <w:rsid w:val="00FD0543"/>
    <w:rsid w:val="00FD2A71"/>
    <w:rsid w:val="00FD3251"/>
    <w:rsid w:val="00FD3F5B"/>
    <w:rsid w:val="00FD4813"/>
    <w:rsid w:val="00FD6ADA"/>
    <w:rsid w:val="00FE3C3D"/>
    <w:rsid w:val="00FE741F"/>
    <w:rsid w:val="00FF1B4B"/>
    <w:rsid w:val="00FF26F2"/>
    <w:rsid w:val="00FF2B25"/>
    <w:rsid w:val="00FF304B"/>
    <w:rsid w:val="00FF329B"/>
    <w:rsid w:val="00FF47DE"/>
    <w:rsid w:val="00FF65DD"/>
    <w:rsid w:val="00FF767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6601F6F"/>
  <w15:docId w15:val="{4B489F06-8760-44A7-936C-C8F1F022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65E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765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78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F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E"/>
  </w:style>
  <w:style w:type="paragraph" w:styleId="Footer">
    <w:name w:val="footer"/>
    <w:basedOn w:val="Normal"/>
    <w:link w:val="FooterChar"/>
    <w:uiPriority w:val="99"/>
    <w:unhideWhenUsed/>
    <w:rsid w:val="000F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E"/>
  </w:style>
  <w:style w:type="table" w:styleId="TableGrid">
    <w:name w:val="Table Grid"/>
    <w:basedOn w:val="TableNormal"/>
    <w:uiPriority w:val="39"/>
    <w:rsid w:val="001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60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0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0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60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50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F765E"/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Heading1Char">
    <w:name w:val="Heading 1 Char"/>
    <w:basedOn w:val="DefaultParagraphFont"/>
    <w:link w:val="Heading1"/>
    <w:rsid w:val="009F765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rsid w:val="009F76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765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42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6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pa.gov/outdoor-air-quality-data/interactive-map-air-quality-monitors" TargetMode="External"/><Relationship Id="rId2" Type="http://schemas.openxmlformats.org/officeDocument/2006/relationships/hyperlink" Target="http://nmaqinow.net/" TargetMode="External"/><Relationship Id="rId1" Type="http://schemas.openxmlformats.org/officeDocument/2006/relationships/hyperlink" Target="https://eatool.air.net.env.nm.gov/aqbea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7CD66B2421142B3E41B353E9ED399" ma:contentTypeVersion="" ma:contentTypeDescription="Create a new document." ma:contentTypeScope="" ma:versionID="a726b5d16b6e71beb078bcfcbf67b3c5">
  <xsd:schema xmlns:xsd="http://www.w3.org/2001/XMLSchema" xmlns:xs="http://www.w3.org/2001/XMLSchema" xmlns:p="http://schemas.microsoft.com/office/2006/metadata/properties" xmlns:ns3="896d6b3d-57b2-45d5-ac7a-91f7a9055409" xmlns:ns4="96939817-5462-4c81-9535-0e35fcabd4d1" targetNamespace="http://schemas.microsoft.com/office/2006/metadata/properties" ma:root="true" ma:fieldsID="626b2ad330b877133af7e25da428d05f" ns3:_="" ns4:_="">
    <xsd:import namespace="896d6b3d-57b2-45d5-ac7a-91f7a9055409"/>
    <xsd:import namespace="96939817-5462-4c81-9535-0e35fcabd4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d6b3d-57b2-45d5-ac7a-91f7a905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39817-5462-4c81-9535-0e35fcabd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6d6b3d-57b2-45d5-ac7a-91f7a9055409">
      <UserInfo>
        <DisplayName>Kerwin Singleton</DisplayName>
        <AccountId>28</AccountId>
        <AccountType/>
      </UserInfo>
      <UserInfo>
        <DisplayName>Michael Baca</DisplayName>
        <AccountId>43</AccountId>
        <AccountType/>
      </UserInfo>
      <UserInfo>
        <DisplayName>Neal Butt</DisplayName>
        <AccountId>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435F6F9-9C83-49E7-B23D-4700200C5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d6b3d-57b2-45d5-ac7a-91f7a9055409"/>
    <ds:schemaRef ds:uri="96939817-5462-4c81-9535-0e35fcabd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C2A69-BCE8-42DC-AD18-FB1929EA8423}">
  <ds:schemaRefs>
    <ds:schemaRef ds:uri="896d6b3d-57b2-45d5-ac7a-91f7a905540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6939817-5462-4c81-9535-0e35fcabd4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0F4971-A036-403D-925A-E1F1086C6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5AAAD-FCC3-4A64-9CC2-787A4F46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Hollenberg</dc:creator>
  <cp:lastModifiedBy>Neal Butt</cp:lastModifiedBy>
  <cp:revision>2</cp:revision>
  <cp:lastPrinted>2019-05-30T14:41:00Z</cp:lastPrinted>
  <dcterms:created xsi:type="dcterms:W3CDTF">2019-05-30T20:18:00Z</dcterms:created>
  <dcterms:modified xsi:type="dcterms:W3CDTF">2019-05-30T20:18:00Z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0x0101009A17CD66B2421142B3E41B353E9ED399</vt:lpwstr>
  </property>
</Properties>
</file>