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6C4" w:rsidRPr="00557EA0" w:rsidRDefault="00D276C4">
      <w:pPr>
        <w:pStyle w:val="Table"/>
        <w:rPr>
          <w:sz w:val="22"/>
          <w:szCs w:val="22"/>
        </w:rPr>
      </w:pPr>
      <w:bookmarkStart w:id="0" w:name="_GoBack"/>
      <w:bookmarkEnd w:id="0"/>
    </w:p>
    <w:p w:rsidR="00D276C4" w:rsidRPr="00557EA0" w:rsidRDefault="00D276C4">
      <w:pPr>
        <w:spacing w:before="0"/>
        <w:rPr>
          <w:sz w:val="22"/>
          <w:szCs w:val="22"/>
        </w:rPr>
      </w:pPr>
    </w:p>
    <w:p w:rsidR="00BE6A7B" w:rsidRPr="00557EA0" w:rsidRDefault="00BE6A7B">
      <w:pPr>
        <w:spacing w:before="0"/>
        <w:rPr>
          <w:sz w:val="22"/>
          <w:szCs w:val="22"/>
        </w:rPr>
      </w:pPr>
    </w:p>
    <w:p w:rsidR="00BE6A7B" w:rsidRPr="00557EA0" w:rsidRDefault="00BE6A7B">
      <w:pPr>
        <w:spacing w:before="0"/>
        <w:rPr>
          <w:sz w:val="22"/>
          <w:szCs w:val="22"/>
        </w:rPr>
      </w:pPr>
    </w:p>
    <w:p w:rsidR="00D276C4" w:rsidRPr="00557EA0" w:rsidRDefault="009E15DD">
      <w:pPr>
        <w:spacing w:before="0"/>
        <w:rPr>
          <w:sz w:val="22"/>
          <w:szCs w:val="22"/>
        </w:rPr>
      </w:pPr>
      <w:r w:rsidRPr="00557EA0">
        <w:rPr>
          <w:sz w:val="22"/>
          <w:szCs w:val="22"/>
        </w:rPr>
        <w:t>February</w:t>
      </w:r>
      <w:r w:rsidR="00FE2250" w:rsidRPr="00557EA0">
        <w:rPr>
          <w:sz w:val="22"/>
          <w:szCs w:val="22"/>
        </w:rPr>
        <w:t xml:space="preserve"> </w:t>
      </w:r>
      <w:r w:rsidR="00245113">
        <w:rPr>
          <w:sz w:val="22"/>
          <w:szCs w:val="22"/>
        </w:rPr>
        <w:t>12</w:t>
      </w:r>
      <w:r w:rsidR="00D276C4" w:rsidRPr="00557EA0">
        <w:rPr>
          <w:sz w:val="22"/>
          <w:szCs w:val="22"/>
        </w:rPr>
        <w:t>, 20</w:t>
      </w:r>
      <w:r w:rsidR="00967DB3" w:rsidRPr="00557EA0">
        <w:rPr>
          <w:sz w:val="22"/>
          <w:szCs w:val="22"/>
        </w:rPr>
        <w:t>1</w:t>
      </w:r>
      <w:r w:rsidRPr="00557EA0">
        <w:rPr>
          <w:sz w:val="22"/>
          <w:szCs w:val="22"/>
        </w:rPr>
        <w:t>8</w:t>
      </w:r>
    </w:p>
    <w:p w:rsidR="00D276C4" w:rsidRPr="00557EA0" w:rsidRDefault="00D276C4">
      <w:pPr>
        <w:spacing w:before="0"/>
        <w:rPr>
          <w:sz w:val="22"/>
          <w:szCs w:val="22"/>
        </w:rPr>
      </w:pPr>
    </w:p>
    <w:p w:rsidR="00D276C4" w:rsidRPr="00557EA0" w:rsidRDefault="00D276C4">
      <w:pPr>
        <w:spacing w:before="0"/>
        <w:rPr>
          <w:sz w:val="22"/>
          <w:szCs w:val="22"/>
        </w:rPr>
      </w:pPr>
      <w:r w:rsidRPr="00557EA0">
        <w:rPr>
          <w:sz w:val="22"/>
          <w:szCs w:val="22"/>
        </w:rPr>
        <w:t>Mr. Sufi Mustafa</w:t>
      </w:r>
    </w:p>
    <w:p w:rsidR="00D276C4" w:rsidRPr="00557EA0" w:rsidRDefault="00D276C4">
      <w:pPr>
        <w:spacing w:before="0"/>
        <w:rPr>
          <w:sz w:val="22"/>
          <w:szCs w:val="22"/>
        </w:rPr>
      </w:pPr>
      <w:r w:rsidRPr="00557EA0">
        <w:rPr>
          <w:sz w:val="22"/>
          <w:szCs w:val="22"/>
        </w:rPr>
        <w:t>New Mexico Environment Department</w:t>
      </w:r>
    </w:p>
    <w:p w:rsidR="00D276C4" w:rsidRPr="00557EA0" w:rsidRDefault="00D276C4">
      <w:pPr>
        <w:pStyle w:val="Footer"/>
        <w:tabs>
          <w:tab w:val="clear" w:pos="4320"/>
          <w:tab w:val="clear" w:pos="8640"/>
        </w:tabs>
        <w:spacing w:before="0"/>
        <w:rPr>
          <w:sz w:val="22"/>
          <w:szCs w:val="22"/>
        </w:rPr>
      </w:pPr>
      <w:r w:rsidRPr="00557EA0">
        <w:rPr>
          <w:sz w:val="22"/>
          <w:szCs w:val="22"/>
        </w:rPr>
        <w:t>Air Quality Bureau</w:t>
      </w:r>
    </w:p>
    <w:p w:rsidR="009E15DD" w:rsidRPr="00557EA0" w:rsidRDefault="009E15DD" w:rsidP="009E15DD">
      <w:pPr>
        <w:pStyle w:val="Table"/>
        <w:rPr>
          <w:sz w:val="22"/>
          <w:szCs w:val="22"/>
        </w:rPr>
      </w:pPr>
      <w:r w:rsidRPr="00557EA0">
        <w:rPr>
          <w:sz w:val="22"/>
          <w:szCs w:val="22"/>
        </w:rPr>
        <w:t xml:space="preserve">525 Camino de </w:t>
      </w:r>
      <w:proofErr w:type="spellStart"/>
      <w:r w:rsidRPr="00557EA0">
        <w:rPr>
          <w:sz w:val="22"/>
          <w:szCs w:val="22"/>
        </w:rPr>
        <w:t>los</w:t>
      </w:r>
      <w:proofErr w:type="spellEnd"/>
      <w:r w:rsidRPr="00557EA0">
        <w:rPr>
          <w:sz w:val="22"/>
          <w:szCs w:val="22"/>
        </w:rPr>
        <w:t xml:space="preserve"> Marquez, Suite 1</w:t>
      </w:r>
    </w:p>
    <w:p w:rsidR="009E15DD" w:rsidRPr="00557EA0" w:rsidRDefault="009E15DD" w:rsidP="009E15DD">
      <w:pPr>
        <w:spacing w:before="0"/>
        <w:rPr>
          <w:sz w:val="22"/>
          <w:szCs w:val="22"/>
        </w:rPr>
      </w:pPr>
      <w:r w:rsidRPr="00557EA0">
        <w:rPr>
          <w:sz w:val="22"/>
          <w:szCs w:val="22"/>
        </w:rPr>
        <w:t>Santa Fe, New Mexico 87505-1816</w:t>
      </w:r>
    </w:p>
    <w:p w:rsidR="00D276C4" w:rsidRPr="00557EA0" w:rsidRDefault="00D276C4">
      <w:pPr>
        <w:pStyle w:val="Footer"/>
        <w:tabs>
          <w:tab w:val="clear" w:pos="4320"/>
          <w:tab w:val="clear" w:pos="8640"/>
        </w:tabs>
        <w:spacing w:before="0"/>
        <w:rPr>
          <w:sz w:val="22"/>
          <w:szCs w:val="22"/>
        </w:rPr>
      </w:pPr>
    </w:p>
    <w:p w:rsidR="00967DB3" w:rsidRPr="00557EA0" w:rsidRDefault="00D276C4">
      <w:pPr>
        <w:pStyle w:val="Heading2"/>
        <w:keepNext w:val="0"/>
        <w:spacing w:before="0" w:after="0"/>
        <w:rPr>
          <w:b w:val="0"/>
          <w:bCs/>
          <w:caps w:val="0"/>
          <w:sz w:val="22"/>
          <w:szCs w:val="22"/>
        </w:rPr>
      </w:pPr>
      <w:r w:rsidRPr="00557EA0">
        <w:rPr>
          <w:b w:val="0"/>
          <w:bCs/>
          <w:caps w:val="0"/>
          <w:sz w:val="22"/>
          <w:szCs w:val="22"/>
        </w:rPr>
        <w:t>Re:</w:t>
      </w:r>
      <w:r w:rsidRPr="00557EA0">
        <w:rPr>
          <w:b w:val="0"/>
          <w:bCs/>
          <w:caps w:val="0"/>
          <w:sz w:val="22"/>
          <w:szCs w:val="22"/>
        </w:rPr>
        <w:tab/>
        <w:t>Air Dispersion Modeling Protocol</w:t>
      </w:r>
    </w:p>
    <w:p w:rsidR="00D276C4" w:rsidRPr="00557EA0" w:rsidRDefault="00D276C4" w:rsidP="00967DB3">
      <w:pPr>
        <w:pStyle w:val="Heading2"/>
        <w:keepNext w:val="0"/>
        <w:spacing w:before="0" w:after="0"/>
        <w:ind w:firstLine="0"/>
        <w:rPr>
          <w:b w:val="0"/>
          <w:bCs/>
          <w:caps w:val="0"/>
          <w:sz w:val="22"/>
          <w:szCs w:val="22"/>
        </w:rPr>
      </w:pPr>
      <w:r w:rsidRPr="00557EA0">
        <w:rPr>
          <w:b w:val="0"/>
          <w:bCs/>
          <w:caps w:val="0"/>
          <w:sz w:val="22"/>
          <w:szCs w:val="22"/>
        </w:rPr>
        <w:t xml:space="preserve">Williams Four Corners LLC </w:t>
      </w:r>
      <w:r w:rsidR="00967DB3" w:rsidRPr="00557EA0">
        <w:rPr>
          <w:b w:val="0"/>
          <w:bCs/>
          <w:caps w:val="0"/>
          <w:sz w:val="22"/>
          <w:szCs w:val="22"/>
        </w:rPr>
        <w:t xml:space="preserve">- </w:t>
      </w:r>
      <w:proofErr w:type="spellStart"/>
      <w:r w:rsidR="00FE2250" w:rsidRPr="00557EA0">
        <w:rPr>
          <w:b w:val="0"/>
          <w:bCs/>
          <w:caps w:val="0"/>
          <w:sz w:val="22"/>
          <w:szCs w:val="22"/>
        </w:rPr>
        <w:t>Kutz</w:t>
      </w:r>
      <w:proofErr w:type="spellEnd"/>
      <w:r w:rsidR="00FE2250" w:rsidRPr="00557EA0">
        <w:rPr>
          <w:b w:val="0"/>
          <w:bCs/>
          <w:caps w:val="0"/>
          <w:sz w:val="22"/>
          <w:szCs w:val="22"/>
        </w:rPr>
        <w:t xml:space="preserve"> Canyon Processing Plant</w:t>
      </w:r>
    </w:p>
    <w:p w:rsidR="00D276C4" w:rsidRPr="00557EA0" w:rsidRDefault="00D276C4">
      <w:pPr>
        <w:pStyle w:val="Table"/>
        <w:spacing w:after="120"/>
        <w:rPr>
          <w:sz w:val="22"/>
          <w:szCs w:val="22"/>
        </w:rPr>
      </w:pPr>
    </w:p>
    <w:p w:rsidR="00D276C4" w:rsidRPr="00557EA0" w:rsidRDefault="00D276C4">
      <w:pPr>
        <w:pStyle w:val="Table"/>
        <w:spacing w:after="120"/>
        <w:rPr>
          <w:sz w:val="22"/>
          <w:szCs w:val="22"/>
        </w:rPr>
      </w:pPr>
      <w:r w:rsidRPr="00557EA0">
        <w:rPr>
          <w:sz w:val="22"/>
          <w:szCs w:val="22"/>
        </w:rPr>
        <w:t>Dear Mr. Mustafa:</w:t>
      </w:r>
    </w:p>
    <w:p w:rsidR="00967DB3" w:rsidRPr="00557EA0" w:rsidRDefault="00967DB3" w:rsidP="00967DB3">
      <w:pPr>
        <w:spacing w:before="120" w:after="120"/>
        <w:rPr>
          <w:spacing w:val="-3"/>
          <w:sz w:val="22"/>
          <w:szCs w:val="22"/>
        </w:rPr>
      </w:pPr>
      <w:r w:rsidRPr="00557EA0">
        <w:rPr>
          <w:sz w:val="22"/>
          <w:szCs w:val="22"/>
        </w:rPr>
        <w:t xml:space="preserve">Williams Four Corners LLC (WFC) is preparing to submit a construction permit application to the New Mexico Air Quality Bureau (NMAQB) requesting a modification to the </w:t>
      </w:r>
      <w:proofErr w:type="spellStart"/>
      <w:r w:rsidRPr="00557EA0">
        <w:rPr>
          <w:sz w:val="22"/>
          <w:szCs w:val="22"/>
        </w:rPr>
        <w:t>Kutz</w:t>
      </w:r>
      <w:proofErr w:type="spellEnd"/>
      <w:r w:rsidRPr="00557EA0">
        <w:rPr>
          <w:sz w:val="22"/>
          <w:szCs w:val="22"/>
        </w:rPr>
        <w:t xml:space="preserve"> Canyon Processing Plant construction permit.  In support of this application, air dispersion modeling will be conducted for </w:t>
      </w:r>
      <w:r w:rsidR="00F226C2" w:rsidRPr="00557EA0">
        <w:rPr>
          <w:sz w:val="22"/>
          <w:szCs w:val="22"/>
        </w:rPr>
        <w:t xml:space="preserve">the following pollutants: </w:t>
      </w:r>
      <w:r w:rsidRPr="00557EA0">
        <w:rPr>
          <w:sz w:val="22"/>
          <w:szCs w:val="22"/>
        </w:rPr>
        <w:t>nitrogen dioxide (NO</w:t>
      </w:r>
      <w:r w:rsidRPr="00557EA0">
        <w:rPr>
          <w:sz w:val="22"/>
          <w:szCs w:val="22"/>
          <w:vertAlign w:val="subscript"/>
        </w:rPr>
        <w:t>2</w:t>
      </w:r>
      <w:r w:rsidRPr="00557EA0">
        <w:rPr>
          <w:sz w:val="22"/>
          <w:szCs w:val="22"/>
        </w:rPr>
        <w:t>), sulfur dioxide (SO</w:t>
      </w:r>
      <w:r w:rsidRPr="00557EA0">
        <w:rPr>
          <w:sz w:val="22"/>
          <w:szCs w:val="22"/>
          <w:vertAlign w:val="subscript"/>
        </w:rPr>
        <w:t>2</w:t>
      </w:r>
      <w:r w:rsidRPr="00557EA0">
        <w:rPr>
          <w:sz w:val="22"/>
          <w:szCs w:val="22"/>
        </w:rPr>
        <w:t>),</w:t>
      </w:r>
      <w:r w:rsidR="001E40F6" w:rsidRPr="00557EA0">
        <w:rPr>
          <w:sz w:val="22"/>
          <w:szCs w:val="22"/>
        </w:rPr>
        <w:t xml:space="preserve"> and lead (</w:t>
      </w:r>
      <w:proofErr w:type="spellStart"/>
      <w:r w:rsidR="001E40F6" w:rsidRPr="00557EA0">
        <w:rPr>
          <w:sz w:val="22"/>
          <w:szCs w:val="22"/>
        </w:rPr>
        <w:t>Pb</w:t>
      </w:r>
      <w:proofErr w:type="spellEnd"/>
      <w:r w:rsidR="001E40F6" w:rsidRPr="00557EA0">
        <w:rPr>
          <w:sz w:val="22"/>
          <w:szCs w:val="22"/>
        </w:rPr>
        <w:t>).</w:t>
      </w:r>
      <w:r w:rsidR="00F226C2" w:rsidRPr="00557EA0">
        <w:rPr>
          <w:sz w:val="22"/>
          <w:szCs w:val="22"/>
        </w:rPr>
        <w:t xml:space="preserve">  The analysis will </w:t>
      </w:r>
      <w:r w:rsidRPr="00557EA0">
        <w:rPr>
          <w:sz w:val="22"/>
          <w:szCs w:val="22"/>
        </w:rPr>
        <w:t xml:space="preserve">evaluate compliance </w:t>
      </w:r>
      <w:r w:rsidR="00F226C2" w:rsidRPr="00557EA0">
        <w:rPr>
          <w:sz w:val="22"/>
          <w:szCs w:val="22"/>
        </w:rPr>
        <w:t xml:space="preserve">with </w:t>
      </w:r>
      <w:r w:rsidRPr="00557EA0">
        <w:rPr>
          <w:sz w:val="22"/>
          <w:szCs w:val="22"/>
        </w:rPr>
        <w:t>the National Ambient Air Quality Standards (NAAQS).  T</w:t>
      </w:r>
      <w:r w:rsidRPr="00557EA0">
        <w:rPr>
          <w:spacing w:val="-3"/>
          <w:sz w:val="22"/>
          <w:szCs w:val="22"/>
        </w:rPr>
        <w:t>his protocol outlines the proposed air dispersion modeling techniques that will be used to assess impacts surrounding the facility.</w:t>
      </w:r>
    </w:p>
    <w:p w:rsidR="00D276C4" w:rsidRPr="00557EA0" w:rsidRDefault="00D276C4">
      <w:pPr>
        <w:pStyle w:val="Heading5"/>
        <w:widowControl/>
        <w:tabs>
          <w:tab w:val="clear" w:pos="-1440"/>
          <w:tab w:val="clear" w:pos="-720"/>
        </w:tabs>
        <w:suppressAutoHyphens w:val="0"/>
        <w:spacing w:before="120" w:after="120"/>
        <w:rPr>
          <w:bCs/>
          <w:spacing w:val="-3"/>
          <w:sz w:val="22"/>
          <w:szCs w:val="22"/>
        </w:rPr>
      </w:pPr>
      <w:r w:rsidRPr="00557EA0">
        <w:rPr>
          <w:bCs/>
          <w:spacing w:val="-3"/>
          <w:sz w:val="22"/>
          <w:szCs w:val="22"/>
        </w:rPr>
        <w:t>Introduction</w:t>
      </w:r>
    </w:p>
    <w:p w:rsidR="0074775F" w:rsidRPr="00557EA0" w:rsidRDefault="00D276C4">
      <w:pPr>
        <w:spacing w:before="120" w:after="120"/>
        <w:rPr>
          <w:sz w:val="22"/>
          <w:szCs w:val="22"/>
        </w:rPr>
      </w:pPr>
      <w:r w:rsidRPr="00557EA0">
        <w:rPr>
          <w:sz w:val="22"/>
          <w:szCs w:val="22"/>
        </w:rPr>
        <w:t xml:space="preserve">The </w:t>
      </w:r>
      <w:proofErr w:type="spellStart"/>
      <w:r w:rsidR="000423B1" w:rsidRPr="00557EA0">
        <w:rPr>
          <w:sz w:val="22"/>
          <w:szCs w:val="22"/>
        </w:rPr>
        <w:t>Kutz</w:t>
      </w:r>
      <w:proofErr w:type="spellEnd"/>
      <w:r w:rsidR="000423B1" w:rsidRPr="00557EA0">
        <w:rPr>
          <w:sz w:val="22"/>
          <w:szCs w:val="22"/>
        </w:rPr>
        <w:t xml:space="preserve"> </w:t>
      </w:r>
      <w:r w:rsidR="004A2F72" w:rsidRPr="00557EA0">
        <w:rPr>
          <w:sz w:val="22"/>
          <w:szCs w:val="22"/>
        </w:rPr>
        <w:t xml:space="preserve">Canyon </w:t>
      </w:r>
      <w:r w:rsidR="008612F6" w:rsidRPr="00557EA0">
        <w:rPr>
          <w:sz w:val="22"/>
          <w:szCs w:val="22"/>
        </w:rPr>
        <w:t>Processing</w:t>
      </w:r>
      <w:r w:rsidR="004A2F72" w:rsidRPr="00557EA0">
        <w:rPr>
          <w:sz w:val="22"/>
          <w:szCs w:val="22"/>
        </w:rPr>
        <w:t xml:space="preserve"> </w:t>
      </w:r>
      <w:r w:rsidR="000423B1" w:rsidRPr="00557EA0">
        <w:rPr>
          <w:sz w:val="22"/>
          <w:szCs w:val="22"/>
        </w:rPr>
        <w:t>Plant</w:t>
      </w:r>
      <w:r w:rsidRPr="00557EA0">
        <w:rPr>
          <w:sz w:val="22"/>
          <w:szCs w:val="22"/>
        </w:rPr>
        <w:t xml:space="preserve"> currently operates under a permit issued by the NMAQB, </w:t>
      </w:r>
      <w:r w:rsidR="000423B1" w:rsidRPr="00557EA0">
        <w:rPr>
          <w:sz w:val="22"/>
          <w:szCs w:val="22"/>
        </w:rPr>
        <w:t>0301-M</w:t>
      </w:r>
      <w:r w:rsidR="00A0789C" w:rsidRPr="00557EA0">
        <w:rPr>
          <w:sz w:val="22"/>
          <w:szCs w:val="22"/>
        </w:rPr>
        <w:t>9</w:t>
      </w:r>
      <w:r w:rsidRPr="00557EA0">
        <w:rPr>
          <w:sz w:val="22"/>
          <w:szCs w:val="22"/>
        </w:rPr>
        <w:t xml:space="preserve">, dated </w:t>
      </w:r>
      <w:r w:rsidR="004A2F72" w:rsidRPr="00557EA0">
        <w:rPr>
          <w:sz w:val="22"/>
          <w:szCs w:val="22"/>
        </w:rPr>
        <w:t>J</w:t>
      </w:r>
      <w:r w:rsidR="00A0789C" w:rsidRPr="00557EA0">
        <w:rPr>
          <w:sz w:val="22"/>
          <w:szCs w:val="22"/>
        </w:rPr>
        <w:t>anuary 27</w:t>
      </w:r>
      <w:r w:rsidRPr="00557EA0">
        <w:rPr>
          <w:sz w:val="22"/>
          <w:szCs w:val="22"/>
        </w:rPr>
        <w:t>, 20</w:t>
      </w:r>
      <w:r w:rsidR="004A2F72" w:rsidRPr="00557EA0">
        <w:rPr>
          <w:sz w:val="22"/>
          <w:szCs w:val="22"/>
        </w:rPr>
        <w:t>1</w:t>
      </w:r>
      <w:r w:rsidR="00A0789C" w:rsidRPr="00557EA0">
        <w:rPr>
          <w:sz w:val="22"/>
          <w:szCs w:val="22"/>
        </w:rPr>
        <w:t>6</w:t>
      </w:r>
      <w:r w:rsidRPr="00557EA0">
        <w:rPr>
          <w:sz w:val="22"/>
          <w:szCs w:val="22"/>
        </w:rPr>
        <w:t xml:space="preserve">.  </w:t>
      </w:r>
      <w:r w:rsidR="00A0789C" w:rsidRPr="00557EA0">
        <w:rPr>
          <w:sz w:val="22"/>
          <w:szCs w:val="22"/>
        </w:rPr>
        <w:t>The proposed modification will remove the following equipment from the current permit:</w:t>
      </w:r>
    </w:p>
    <w:p w:rsidR="0074775F" w:rsidRPr="00557EA0" w:rsidRDefault="0074775F" w:rsidP="00FA2DD9">
      <w:pPr>
        <w:pStyle w:val="BodyText"/>
        <w:widowControl/>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before="60" w:after="60"/>
        <w:rPr>
          <w:szCs w:val="22"/>
        </w:rPr>
      </w:pPr>
      <w:r w:rsidRPr="00557EA0">
        <w:rPr>
          <w:szCs w:val="22"/>
        </w:rPr>
        <w:t>Three Clark HRA-8 reciprocating internal combustion engines</w:t>
      </w:r>
      <w:r w:rsidR="00FA2DD9" w:rsidRPr="00557EA0">
        <w:rPr>
          <w:szCs w:val="22"/>
        </w:rPr>
        <w:t xml:space="preserve"> </w:t>
      </w:r>
      <w:r w:rsidRPr="00557EA0">
        <w:rPr>
          <w:szCs w:val="22"/>
        </w:rPr>
        <w:t>(Units 16-18);</w:t>
      </w:r>
    </w:p>
    <w:p w:rsidR="0074775F" w:rsidRPr="00557EA0" w:rsidRDefault="0074775F" w:rsidP="00FA2DD9">
      <w:pPr>
        <w:pStyle w:val="BodyText"/>
        <w:widowControl/>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before="60" w:after="60"/>
        <w:rPr>
          <w:szCs w:val="22"/>
        </w:rPr>
      </w:pPr>
      <w:r w:rsidRPr="00557EA0">
        <w:rPr>
          <w:szCs w:val="22"/>
        </w:rPr>
        <w:t xml:space="preserve">One </w:t>
      </w:r>
      <w:proofErr w:type="spellStart"/>
      <w:r w:rsidRPr="00557EA0">
        <w:rPr>
          <w:szCs w:val="22"/>
        </w:rPr>
        <w:t>Wheco</w:t>
      </w:r>
      <w:proofErr w:type="spellEnd"/>
      <w:r w:rsidRPr="00557EA0">
        <w:rPr>
          <w:szCs w:val="22"/>
        </w:rPr>
        <w:t xml:space="preserve"> heater (Unit 22);</w:t>
      </w:r>
    </w:p>
    <w:p w:rsidR="0074775F" w:rsidRPr="00557EA0" w:rsidRDefault="0074775F" w:rsidP="00FA2DD9">
      <w:pPr>
        <w:pStyle w:val="BodyText"/>
        <w:widowControl/>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before="60" w:after="60"/>
        <w:rPr>
          <w:szCs w:val="22"/>
        </w:rPr>
      </w:pPr>
      <w:r w:rsidRPr="00557EA0">
        <w:rPr>
          <w:szCs w:val="22"/>
        </w:rPr>
        <w:t>One Alcorn heater (Unit 23);</w:t>
      </w:r>
    </w:p>
    <w:p w:rsidR="0074775F" w:rsidRPr="00557EA0" w:rsidRDefault="0074775F" w:rsidP="00FA2DD9">
      <w:pPr>
        <w:pStyle w:val="BodyText"/>
        <w:widowControl/>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before="60" w:after="60"/>
        <w:rPr>
          <w:szCs w:val="22"/>
        </w:rPr>
      </w:pPr>
      <w:r w:rsidRPr="00557EA0">
        <w:rPr>
          <w:szCs w:val="22"/>
        </w:rPr>
        <w:t xml:space="preserve">One </w:t>
      </w:r>
      <w:proofErr w:type="spellStart"/>
      <w:r w:rsidR="006A4D17" w:rsidRPr="00557EA0">
        <w:rPr>
          <w:szCs w:val="22"/>
        </w:rPr>
        <w:t>Parksburg</w:t>
      </w:r>
      <w:proofErr w:type="spellEnd"/>
      <w:r w:rsidR="006A4D17" w:rsidRPr="00557EA0">
        <w:rPr>
          <w:szCs w:val="22"/>
        </w:rPr>
        <w:t xml:space="preserve"> </w:t>
      </w:r>
      <w:r w:rsidRPr="00557EA0">
        <w:rPr>
          <w:szCs w:val="22"/>
        </w:rPr>
        <w:t>ethylene glycol (EG) dehydrator</w:t>
      </w:r>
      <w:r w:rsidR="006A4D17" w:rsidRPr="00557EA0">
        <w:rPr>
          <w:szCs w:val="22"/>
        </w:rPr>
        <w:t xml:space="preserve"> </w:t>
      </w:r>
      <w:r w:rsidRPr="00557EA0">
        <w:rPr>
          <w:szCs w:val="22"/>
        </w:rPr>
        <w:t>(Unit 24);</w:t>
      </w:r>
    </w:p>
    <w:p w:rsidR="0074775F" w:rsidRPr="00557EA0" w:rsidRDefault="0074775F" w:rsidP="00FA2DD9">
      <w:pPr>
        <w:pStyle w:val="BodyText"/>
        <w:widowControl/>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before="60" w:after="60"/>
        <w:rPr>
          <w:szCs w:val="22"/>
        </w:rPr>
      </w:pPr>
      <w:r w:rsidRPr="00557EA0">
        <w:rPr>
          <w:szCs w:val="22"/>
        </w:rPr>
        <w:t>One Waukesha L5794LT or L7042GL RICE (Unit 37a or 37b);</w:t>
      </w:r>
      <w:r w:rsidR="00A0789C" w:rsidRPr="00557EA0">
        <w:rPr>
          <w:szCs w:val="22"/>
        </w:rPr>
        <w:t xml:space="preserve"> and</w:t>
      </w:r>
    </w:p>
    <w:p w:rsidR="0074775F" w:rsidRPr="00557EA0" w:rsidRDefault="0074775F" w:rsidP="00FA2DD9">
      <w:pPr>
        <w:pStyle w:val="BodyText"/>
        <w:widowControl/>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before="60" w:after="60"/>
        <w:rPr>
          <w:szCs w:val="22"/>
        </w:rPr>
      </w:pPr>
      <w:r w:rsidRPr="00557EA0">
        <w:rPr>
          <w:szCs w:val="22"/>
        </w:rPr>
        <w:t xml:space="preserve">One </w:t>
      </w:r>
      <w:r w:rsidR="00A0789C" w:rsidRPr="00557EA0">
        <w:rPr>
          <w:szCs w:val="22"/>
        </w:rPr>
        <w:t>condensate storage tank and (Unit T6438) and associated EVRU (Unit 74)</w:t>
      </w:r>
      <w:r w:rsidRPr="00557EA0">
        <w:rPr>
          <w:szCs w:val="22"/>
        </w:rPr>
        <w:t>.</w:t>
      </w:r>
    </w:p>
    <w:p w:rsidR="006A4D17" w:rsidRPr="00557EA0" w:rsidRDefault="006A4D17" w:rsidP="00B53459">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after="120"/>
        <w:rPr>
          <w:szCs w:val="22"/>
        </w:rPr>
      </w:pPr>
      <w:r w:rsidRPr="00557EA0">
        <w:rPr>
          <w:szCs w:val="22"/>
        </w:rPr>
        <w:t xml:space="preserve">The modification </w:t>
      </w:r>
      <w:r w:rsidR="00556638" w:rsidRPr="00557EA0">
        <w:rPr>
          <w:szCs w:val="22"/>
        </w:rPr>
        <w:t xml:space="preserve">will add one new </w:t>
      </w:r>
      <w:proofErr w:type="spellStart"/>
      <w:r w:rsidR="00556638" w:rsidRPr="00557EA0">
        <w:rPr>
          <w:szCs w:val="22"/>
        </w:rPr>
        <w:t>triethylene</w:t>
      </w:r>
      <w:proofErr w:type="spellEnd"/>
      <w:r w:rsidR="00556638" w:rsidRPr="00557EA0">
        <w:rPr>
          <w:szCs w:val="22"/>
        </w:rPr>
        <w:t xml:space="preserve"> glycol (TEG) dehydrator</w:t>
      </w:r>
      <w:r w:rsidR="00B53459" w:rsidRPr="00557EA0">
        <w:rPr>
          <w:szCs w:val="22"/>
        </w:rPr>
        <w:t xml:space="preserve"> (Unit 77)</w:t>
      </w:r>
      <w:r w:rsidR="00556638" w:rsidRPr="00557EA0">
        <w:rPr>
          <w:szCs w:val="22"/>
        </w:rPr>
        <w:t>, with a rated capacity of 20 million standard cubic feet per day (MMSCFD).</w:t>
      </w:r>
      <w:bookmarkStart w:id="1" w:name="_Hlk505930808"/>
      <w:r w:rsidR="00091207" w:rsidRPr="00557EA0">
        <w:rPr>
          <w:szCs w:val="22"/>
        </w:rPr>
        <w:t xml:space="preserve">  Air dispersion modeling must be addressed, because the dehydrator reboiler will be equipped with </w:t>
      </w:r>
      <w:proofErr w:type="gramStart"/>
      <w:r w:rsidR="00091207" w:rsidRPr="00557EA0">
        <w:rPr>
          <w:szCs w:val="22"/>
        </w:rPr>
        <w:t>a 1.48 million British thermal units</w:t>
      </w:r>
      <w:proofErr w:type="gramEnd"/>
      <w:r w:rsidR="00091207" w:rsidRPr="00557EA0">
        <w:rPr>
          <w:szCs w:val="22"/>
        </w:rPr>
        <w:t xml:space="preserve"> per hour (MMBtu/</w:t>
      </w:r>
      <w:proofErr w:type="spellStart"/>
      <w:r w:rsidR="00091207" w:rsidRPr="00557EA0">
        <w:rPr>
          <w:szCs w:val="22"/>
        </w:rPr>
        <w:t>hr</w:t>
      </w:r>
      <w:proofErr w:type="spellEnd"/>
      <w:r w:rsidR="00091207" w:rsidRPr="00557EA0">
        <w:rPr>
          <w:szCs w:val="22"/>
        </w:rPr>
        <w:t>) burner.</w:t>
      </w:r>
      <w:bookmarkEnd w:id="1"/>
    </w:p>
    <w:p w:rsidR="00B53459" w:rsidRPr="00557EA0" w:rsidRDefault="00B53459" w:rsidP="00B53459">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after="120"/>
        <w:rPr>
          <w:szCs w:val="22"/>
        </w:rPr>
      </w:pPr>
      <w:r w:rsidRPr="00557EA0">
        <w:rPr>
          <w:szCs w:val="22"/>
        </w:rPr>
        <w:t>Note that the facility was modeled in 2015 for NO</w:t>
      </w:r>
      <w:r w:rsidRPr="00557EA0">
        <w:rPr>
          <w:szCs w:val="22"/>
          <w:vertAlign w:val="subscript"/>
        </w:rPr>
        <w:t>2</w:t>
      </w:r>
      <w:r w:rsidRPr="00557EA0">
        <w:rPr>
          <w:szCs w:val="22"/>
        </w:rPr>
        <w:t>, carbon monoxide (CO), SO</w:t>
      </w:r>
      <w:r w:rsidRPr="00557EA0">
        <w:rPr>
          <w:szCs w:val="22"/>
          <w:vertAlign w:val="subscript"/>
        </w:rPr>
        <w:t>2</w:t>
      </w:r>
      <w:r w:rsidRPr="00557EA0">
        <w:rPr>
          <w:szCs w:val="22"/>
        </w:rPr>
        <w:t>, total suspended particulate (TSP), particulate matter less than or equal to 10 microns in diameter (PM</w:t>
      </w:r>
      <w:r w:rsidRPr="00557EA0">
        <w:rPr>
          <w:szCs w:val="22"/>
          <w:vertAlign w:val="subscript"/>
        </w:rPr>
        <w:t>10</w:t>
      </w:r>
      <w:r w:rsidRPr="00557EA0">
        <w:rPr>
          <w:szCs w:val="22"/>
        </w:rPr>
        <w:t>) and particulate matter less than or equal to 2.5 microns in diameter (PM</w:t>
      </w:r>
      <w:r w:rsidRPr="00557EA0">
        <w:rPr>
          <w:szCs w:val="22"/>
          <w:vertAlign w:val="subscript"/>
        </w:rPr>
        <w:t>2.5</w:t>
      </w:r>
      <w:r w:rsidRPr="00557EA0">
        <w:rPr>
          <w:szCs w:val="22"/>
        </w:rPr>
        <w:t xml:space="preserve">).  A modeling waiver has been obtained for all those pollutants and averaging periods included in the </w:t>
      </w:r>
      <w:r w:rsidR="00FA2DD9" w:rsidRPr="00557EA0">
        <w:rPr>
          <w:szCs w:val="22"/>
        </w:rPr>
        <w:t xml:space="preserve">2015 </w:t>
      </w:r>
      <w:r w:rsidRPr="00557EA0">
        <w:rPr>
          <w:szCs w:val="22"/>
        </w:rPr>
        <w:t xml:space="preserve">analysis.  </w:t>
      </w:r>
      <w:r w:rsidR="00FA2DD9" w:rsidRPr="00557EA0">
        <w:rPr>
          <w:szCs w:val="22"/>
        </w:rPr>
        <w:t xml:space="preserve">Since that </w:t>
      </w:r>
      <w:r w:rsidRPr="00557EA0">
        <w:rPr>
          <w:szCs w:val="22"/>
        </w:rPr>
        <w:t xml:space="preserve">evaluation </w:t>
      </w:r>
      <w:r w:rsidR="00FA2DD9" w:rsidRPr="00557EA0">
        <w:rPr>
          <w:szCs w:val="22"/>
        </w:rPr>
        <w:t xml:space="preserve">did not include </w:t>
      </w:r>
      <w:r w:rsidRPr="00557EA0">
        <w:rPr>
          <w:szCs w:val="22"/>
        </w:rPr>
        <w:t xml:space="preserve">the </w:t>
      </w:r>
      <w:r w:rsidRPr="00557EA0">
        <w:rPr>
          <w:szCs w:val="22"/>
        </w:rPr>
        <w:lastRenderedPageBreak/>
        <w:t>NO</w:t>
      </w:r>
      <w:r w:rsidRPr="00557EA0">
        <w:rPr>
          <w:szCs w:val="22"/>
          <w:vertAlign w:val="subscript"/>
        </w:rPr>
        <w:t>2</w:t>
      </w:r>
      <w:r w:rsidRPr="00557EA0">
        <w:rPr>
          <w:szCs w:val="22"/>
        </w:rPr>
        <w:t xml:space="preserve"> and SO</w:t>
      </w:r>
      <w:r w:rsidRPr="00557EA0">
        <w:rPr>
          <w:szCs w:val="22"/>
          <w:vertAlign w:val="subscript"/>
        </w:rPr>
        <w:t>2</w:t>
      </w:r>
      <w:r w:rsidRPr="00557EA0">
        <w:rPr>
          <w:szCs w:val="22"/>
        </w:rPr>
        <w:t xml:space="preserve"> 1-hour NAAQS and the </w:t>
      </w:r>
      <w:proofErr w:type="spellStart"/>
      <w:r w:rsidRPr="00557EA0">
        <w:rPr>
          <w:szCs w:val="22"/>
        </w:rPr>
        <w:t>Pb</w:t>
      </w:r>
      <w:proofErr w:type="spellEnd"/>
      <w:r w:rsidRPr="00557EA0">
        <w:rPr>
          <w:szCs w:val="22"/>
        </w:rPr>
        <w:t xml:space="preserve"> quarterly NAAQS</w:t>
      </w:r>
      <w:r w:rsidR="00FA2DD9" w:rsidRPr="00557EA0">
        <w:rPr>
          <w:szCs w:val="22"/>
        </w:rPr>
        <w:t>, modeling for these pollutants and averaging periods is required for this current modification</w:t>
      </w:r>
      <w:r w:rsidRPr="00557EA0">
        <w:rPr>
          <w:szCs w:val="22"/>
        </w:rPr>
        <w:t>.</w:t>
      </w:r>
    </w:p>
    <w:p w:rsidR="00D276C4" w:rsidRPr="00557EA0" w:rsidRDefault="00D276C4">
      <w:pPr>
        <w:pStyle w:val="Heading5"/>
        <w:widowControl/>
        <w:tabs>
          <w:tab w:val="clear" w:pos="-1440"/>
          <w:tab w:val="clear" w:pos="-720"/>
        </w:tabs>
        <w:suppressAutoHyphens w:val="0"/>
        <w:spacing w:before="120" w:after="120"/>
        <w:rPr>
          <w:sz w:val="22"/>
          <w:szCs w:val="22"/>
        </w:rPr>
      </w:pPr>
      <w:r w:rsidRPr="00557EA0">
        <w:rPr>
          <w:sz w:val="22"/>
          <w:szCs w:val="22"/>
        </w:rPr>
        <w:t>Facility</w:t>
      </w:r>
    </w:p>
    <w:p w:rsidR="00A0789C" w:rsidRPr="00557EA0" w:rsidRDefault="00A0789C" w:rsidP="00A0789C">
      <w:pPr>
        <w:pStyle w:val="Footer"/>
        <w:tabs>
          <w:tab w:val="clear" w:pos="4320"/>
          <w:tab w:val="clear" w:pos="8640"/>
        </w:tabs>
        <w:autoSpaceDE w:val="0"/>
        <w:autoSpaceDN w:val="0"/>
        <w:adjustRightInd w:val="0"/>
        <w:spacing w:before="120" w:after="120"/>
        <w:rPr>
          <w:sz w:val="22"/>
          <w:szCs w:val="22"/>
        </w:rPr>
      </w:pPr>
      <w:r w:rsidRPr="00557EA0">
        <w:rPr>
          <w:spacing w:val="-3"/>
          <w:sz w:val="22"/>
          <w:szCs w:val="22"/>
        </w:rPr>
        <w:t xml:space="preserve">The </w:t>
      </w:r>
      <w:proofErr w:type="spellStart"/>
      <w:r w:rsidRPr="00557EA0">
        <w:rPr>
          <w:spacing w:val="-3"/>
          <w:sz w:val="22"/>
          <w:szCs w:val="22"/>
        </w:rPr>
        <w:t>Kutz</w:t>
      </w:r>
      <w:proofErr w:type="spellEnd"/>
      <w:r w:rsidRPr="00557EA0">
        <w:rPr>
          <w:spacing w:val="-3"/>
          <w:sz w:val="22"/>
          <w:szCs w:val="22"/>
        </w:rPr>
        <w:t xml:space="preserve"> Canyon Processing Plant is </w:t>
      </w:r>
      <w:r w:rsidRPr="00557EA0">
        <w:rPr>
          <w:sz w:val="22"/>
          <w:szCs w:val="22"/>
        </w:rPr>
        <w:t>located approximately 3.5 miles south of Bloomfield, New Mexico, at approximately 235,316 meters Easting, 4,062,138 meters Northing, Zone 13, North American Datum 1983 (NAD83), at an elevation of approximately 5,787 feet above mean sea level.  The facility is located in a rural area.</w:t>
      </w:r>
    </w:p>
    <w:p w:rsidR="00D276C4" w:rsidRPr="00557EA0" w:rsidRDefault="00D276C4">
      <w:pPr>
        <w:spacing w:before="120" w:after="120"/>
        <w:rPr>
          <w:sz w:val="22"/>
          <w:szCs w:val="22"/>
        </w:rPr>
      </w:pPr>
      <w:r w:rsidRPr="00557EA0">
        <w:rPr>
          <w:sz w:val="22"/>
          <w:szCs w:val="22"/>
        </w:rPr>
        <w:t xml:space="preserve">The facility is equipped to </w:t>
      </w:r>
      <w:r w:rsidR="00124742" w:rsidRPr="00557EA0">
        <w:rPr>
          <w:sz w:val="22"/>
          <w:szCs w:val="22"/>
        </w:rPr>
        <w:t xml:space="preserve">process </w:t>
      </w:r>
      <w:r w:rsidRPr="00557EA0">
        <w:rPr>
          <w:sz w:val="22"/>
          <w:szCs w:val="22"/>
        </w:rPr>
        <w:t>pipeline quality natural gas.  After the modification</w:t>
      </w:r>
      <w:r w:rsidR="00556638" w:rsidRPr="00557EA0">
        <w:rPr>
          <w:sz w:val="22"/>
          <w:szCs w:val="22"/>
        </w:rPr>
        <w:t>,</w:t>
      </w:r>
      <w:r w:rsidRPr="00557EA0">
        <w:rPr>
          <w:sz w:val="22"/>
          <w:szCs w:val="22"/>
        </w:rPr>
        <w:t xml:space="preserve"> the following </w:t>
      </w:r>
      <w:r w:rsidR="00295C13" w:rsidRPr="00557EA0">
        <w:rPr>
          <w:sz w:val="22"/>
          <w:szCs w:val="22"/>
        </w:rPr>
        <w:t>NO</w:t>
      </w:r>
      <w:r w:rsidR="00295C13" w:rsidRPr="00557EA0">
        <w:rPr>
          <w:sz w:val="22"/>
          <w:szCs w:val="22"/>
          <w:vertAlign w:val="subscript"/>
        </w:rPr>
        <w:t>X</w:t>
      </w:r>
      <w:r w:rsidR="00295C13" w:rsidRPr="00557EA0">
        <w:rPr>
          <w:sz w:val="22"/>
          <w:szCs w:val="22"/>
        </w:rPr>
        <w:t>, SO</w:t>
      </w:r>
      <w:r w:rsidR="00295C13" w:rsidRPr="00557EA0">
        <w:rPr>
          <w:sz w:val="22"/>
          <w:szCs w:val="22"/>
          <w:vertAlign w:val="subscript"/>
        </w:rPr>
        <w:t>2</w:t>
      </w:r>
      <w:r w:rsidR="00295C13" w:rsidRPr="00557EA0">
        <w:rPr>
          <w:sz w:val="22"/>
          <w:szCs w:val="22"/>
        </w:rPr>
        <w:t xml:space="preserve">, and </w:t>
      </w:r>
      <w:proofErr w:type="spellStart"/>
      <w:r w:rsidR="008206DF" w:rsidRPr="00557EA0">
        <w:rPr>
          <w:sz w:val="22"/>
          <w:szCs w:val="22"/>
        </w:rPr>
        <w:t>Pb</w:t>
      </w:r>
      <w:proofErr w:type="spellEnd"/>
      <w:r w:rsidR="00295C13" w:rsidRPr="00557EA0">
        <w:rPr>
          <w:sz w:val="22"/>
          <w:szCs w:val="22"/>
        </w:rPr>
        <w:t xml:space="preserve"> </w:t>
      </w:r>
      <w:r w:rsidRPr="00557EA0">
        <w:rPr>
          <w:sz w:val="22"/>
          <w:szCs w:val="22"/>
        </w:rPr>
        <w:t xml:space="preserve">sources </w:t>
      </w:r>
      <w:r w:rsidR="008612F6" w:rsidRPr="00557EA0">
        <w:rPr>
          <w:sz w:val="22"/>
          <w:szCs w:val="22"/>
        </w:rPr>
        <w:t>(</w:t>
      </w:r>
      <w:r w:rsidR="00637C01" w:rsidRPr="00557EA0">
        <w:rPr>
          <w:sz w:val="22"/>
          <w:szCs w:val="22"/>
        </w:rPr>
        <w:t>excluding</w:t>
      </w:r>
      <w:r w:rsidR="008612F6" w:rsidRPr="00557EA0">
        <w:rPr>
          <w:sz w:val="22"/>
          <w:szCs w:val="22"/>
        </w:rPr>
        <w:t xml:space="preserve"> exempt sources) </w:t>
      </w:r>
      <w:r w:rsidRPr="00557EA0">
        <w:rPr>
          <w:sz w:val="22"/>
          <w:szCs w:val="22"/>
        </w:rPr>
        <w:t>will operate at the facility:</w:t>
      </w:r>
    </w:p>
    <w:p w:rsidR="00295C13" w:rsidRPr="00557EA0" w:rsidRDefault="00295C13" w:rsidP="00FA2DD9">
      <w:pPr>
        <w:pStyle w:val="BodyText"/>
        <w:widowControl/>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before="60" w:after="60"/>
        <w:rPr>
          <w:szCs w:val="22"/>
        </w:rPr>
      </w:pPr>
      <w:r w:rsidRPr="00557EA0">
        <w:rPr>
          <w:szCs w:val="22"/>
        </w:rPr>
        <w:t>Eight Solar Centaur 40 turbines (Units 1-6, 19 &amp; 20);</w:t>
      </w:r>
    </w:p>
    <w:p w:rsidR="00295C13" w:rsidRPr="00557EA0" w:rsidRDefault="00295C13" w:rsidP="00FA2DD9">
      <w:pPr>
        <w:pStyle w:val="BodyText"/>
        <w:widowControl/>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before="60" w:after="60"/>
        <w:rPr>
          <w:szCs w:val="22"/>
        </w:rPr>
      </w:pPr>
      <w:r w:rsidRPr="00557EA0">
        <w:rPr>
          <w:szCs w:val="22"/>
        </w:rPr>
        <w:t>Three Solar Saturn 1200 turbines (Units 7, 8 &amp; 29);</w:t>
      </w:r>
    </w:p>
    <w:p w:rsidR="00295C13" w:rsidRPr="00557EA0" w:rsidRDefault="00295C13" w:rsidP="00FA2DD9">
      <w:pPr>
        <w:pStyle w:val="BodyText"/>
        <w:widowControl/>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before="60" w:after="60"/>
        <w:rPr>
          <w:szCs w:val="22"/>
        </w:rPr>
      </w:pPr>
      <w:r w:rsidRPr="00557EA0">
        <w:rPr>
          <w:szCs w:val="22"/>
        </w:rPr>
        <w:t>One Born glycol heater (Unit 25);</w:t>
      </w:r>
    </w:p>
    <w:p w:rsidR="00295C13" w:rsidRPr="00557EA0" w:rsidRDefault="00295C13" w:rsidP="00FA2DD9">
      <w:pPr>
        <w:pStyle w:val="BodyText"/>
        <w:widowControl/>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before="60" w:after="60"/>
        <w:rPr>
          <w:szCs w:val="22"/>
        </w:rPr>
      </w:pPr>
      <w:r w:rsidRPr="00557EA0">
        <w:rPr>
          <w:szCs w:val="22"/>
        </w:rPr>
        <w:t>One Born hot oil heater (Unit 27);</w:t>
      </w:r>
    </w:p>
    <w:p w:rsidR="00295C13" w:rsidRPr="00557EA0" w:rsidRDefault="00295C13" w:rsidP="00FA2DD9">
      <w:pPr>
        <w:pStyle w:val="BodyText"/>
        <w:widowControl/>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before="60" w:after="60"/>
        <w:rPr>
          <w:szCs w:val="22"/>
        </w:rPr>
      </w:pPr>
      <w:r w:rsidRPr="00557EA0">
        <w:rPr>
          <w:szCs w:val="22"/>
        </w:rPr>
        <w:t>One plant flare (Unit 28);</w:t>
      </w:r>
    </w:p>
    <w:p w:rsidR="00295C13" w:rsidRPr="00557EA0" w:rsidRDefault="00295C13" w:rsidP="00FA2DD9">
      <w:pPr>
        <w:pStyle w:val="BodyText"/>
        <w:widowControl/>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before="60" w:after="60"/>
        <w:rPr>
          <w:szCs w:val="22"/>
        </w:rPr>
      </w:pPr>
      <w:r w:rsidRPr="00557EA0">
        <w:rPr>
          <w:szCs w:val="22"/>
        </w:rPr>
        <w:t xml:space="preserve">One </w:t>
      </w:r>
      <w:proofErr w:type="spellStart"/>
      <w:r w:rsidRPr="00557EA0">
        <w:rPr>
          <w:szCs w:val="22"/>
        </w:rPr>
        <w:t>Pesco</w:t>
      </w:r>
      <w:proofErr w:type="spellEnd"/>
      <w:r w:rsidRPr="00557EA0">
        <w:rPr>
          <w:szCs w:val="22"/>
        </w:rPr>
        <w:t xml:space="preserve"> fuel gas heater (Unit 30);</w:t>
      </w:r>
    </w:p>
    <w:p w:rsidR="0034707B" w:rsidRPr="00557EA0" w:rsidRDefault="0034707B" w:rsidP="00FA2DD9">
      <w:pPr>
        <w:pStyle w:val="BodyText"/>
        <w:widowControl/>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before="60" w:after="60"/>
        <w:rPr>
          <w:szCs w:val="22"/>
        </w:rPr>
      </w:pPr>
      <w:r w:rsidRPr="00557EA0">
        <w:rPr>
          <w:szCs w:val="22"/>
        </w:rPr>
        <w:t>One Caterpillar D343 standby generator (Unit 34)</w:t>
      </w:r>
    </w:p>
    <w:p w:rsidR="00295C13" w:rsidRPr="00557EA0" w:rsidRDefault="00295C13" w:rsidP="00FA2DD9">
      <w:pPr>
        <w:pStyle w:val="BodyText"/>
        <w:widowControl/>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before="60" w:after="60"/>
        <w:rPr>
          <w:szCs w:val="22"/>
        </w:rPr>
      </w:pPr>
      <w:r w:rsidRPr="00557EA0">
        <w:rPr>
          <w:szCs w:val="22"/>
        </w:rPr>
        <w:t xml:space="preserve">One </w:t>
      </w:r>
      <w:proofErr w:type="spellStart"/>
      <w:r w:rsidRPr="00557EA0">
        <w:rPr>
          <w:szCs w:val="22"/>
        </w:rPr>
        <w:t>Pesco</w:t>
      </w:r>
      <w:proofErr w:type="spellEnd"/>
      <w:r w:rsidRPr="00557EA0">
        <w:rPr>
          <w:szCs w:val="22"/>
        </w:rPr>
        <w:t xml:space="preserve"> TEG dehydrator reboiler (Unit 35b);</w:t>
      </w:r>
    </w:p>
    <w:p w:rsidR="00295C13" w:rsidRPr="00557EA0" w:rsidRDefault="00295C13" w:rsidP="00FA2DD9">
      <w:pPr>
        <w:pStyle w:val="BodyText"/>
        <w:widowControl/>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before="60" w:after="60"/>
        <w:rPr>
          <w:szCs w:val="22"/>
        </w:rPr>
      </w:pPr>
      <w:r w:rsidRPr="00557EA0">
        <w:rPr>
          <w:szCs w:val="22"/>
        </w:rPr>
        <w:t xml:space="preserve">One </w:t>
      </w:r>
      <w:proofErr w:type="spellStart"/>
      <w:r w:rsidRPr="00557EA0">
        <w:rPr>
          <w:szCs w:val="22"/>
        </w:rPr>
        <w:t>Zeeco</w:t>
      </w:r>
      <w:proofErr w:type="spellEnd"/>
      <w:r w:rsidRPr="00557EA0">
        <w:rPr>
          <w:szCs w:val="22"/>
        </w:rPr>
        <w:t xml:space="preserve"> flare (Unit 36);</w:t>
      </w:r>
    </w:p>
    <w:p w:rsidR="0034707B" w:rsidRPr="00557EA0" w:rsidRDefault="00295C13" w:rsidP="00FA2DD9">
      <w:pPr>
        <w:pStyle w:val="BodyText"/>
        <w:widowControl/>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before="60" w:after="60"/>
        <w:rPr>
          <w:szCs w:val="22"/>
        </w:rPr>
      </w:pPr>
      <w:r w:rsidRPr="00557EA0">
        <w:rPr>
          <w:szCs w:val="22"/>
        </w:rPr>
        <w:t>Three cooling towers (Units 39-41);</w:t>
      </w:r>
    </w:p>
    <w:p w:rsidR="00160516" w:rsidRPr="00557EA0" w:rsidRDefault="00295C13" w:rsidP="00FA2DD9">
      <w:pPr>
        <w:pStyle w:val="BodyText"/>
        <w:widowControl/>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before="60" w:after="60"/>
        <w:rPr>
          <w:szCs w:val="22"/>
        </w:rPr>
      </w:pPr>
      <w:r w:rsidRPr="00557EA0">
        <w:rPr>
          <w:szCs w:val="22"/>
        </w:rPr>
        <w:t>One Kohler 8.5RES backup generator (Unit 76)</w:t>
      </w:r>
      <w:r w:rsidR="00160516" w:rsidRPr="00557EA0">
        <w:rPr>
          <w:szCs w:val="22"/>
        </w:rPr>
        <w:t>; and</w:t>
      </w:r>
    </w:p>
    <w:p w:rsidR="00295C13" w:rsidRPr="00557EA0" w:rsidRDefault="00160516" w:rsidP="00637C01">
      <w:pPr>
        <w:pStyle w:val="BodyText"/>
        <w:widowControl/>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before="60" w:after="120"/>
        <w:rPr>
          <w:szCs w:val="22"/>
        </w:rPr>
      </w:pPr>
      <w:r w:rsidRPr="00557EA0">
        <w:rPr>
          <w:szCs w:val="22"/>
        </w:rPr>
        <w:t>One TEG dehydrator reboiler (Unit 77b)</w:t>
      </w:r>
      <w:r w:rsidR="00295C13" w:rsidRPr="00557EA0">
        <w:rPr>
          <w:szCs w:val="22"/>
        </w:rPr>
        <w:t>.</w:t>
      </w:r>
    </w:p>
    <w:p w:rsidR="00D276C4" w:rsidRPr="00557EA0" w:rsidRDefault="00D276C4">
      <w:pPr>
        <w:pStyle w:val="Heading5"/>
        <w:widowControl/>
        <w:tabs>
          <w:tab w:val="clear" w:pos="-1440"/>
          <w:tab w:val="clear" w:pos="-720"/>
        </w:tabs>
        <w:suppressAutoHyphens w:val="0"/>
        <w:spacing w:before="120" w:after="120"/>
        <w:rPr>
          <w:bCs/>
          <w:spacing w:val="-3"/>
          <w:sz w:val="22"/>
          <w:szCs w:val="22"/>
        </w:rPr>
      </w:pPr>
      <w:r w:rsidRPr="00557EA0">
        <w:rPr>
          <w:bCs/>
          <w:spacing w:val="-3"/>
          <w:sz w:val="22"/>
          <w:szCs w:val="22"/>
        </w:rPr>
        <w:t>Standards</w:t>
      </w:r>
    </w:p>
    <w:p w:rsidR="0085635B" w:rsidRPr="00557EA0" w:rsidRDefault="0085635B" w:rsidP="0085635B">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after="120"/>
        <w:rPr>
          <w:szCs w:val="22"/>
        </w:rPr>
      </w:pPr>
      <w:r w:rsidRPr="00557EA0">
        <w:rPr>
          <w:szCs w:val="22"/>
        </w:rPr>
        <w:t>Table 1 identifies the applicable significant impact levels (SIL)</w:t>
      </w:r>
      <w:r w:rsidR="00FA2DD9" w:rsidRPr="00557EA0">
        <w:rPr>
          <w:szCs w:val="22"/>
        </w:rPr>
        <w:t xml:space="preserve"> and</w:t>
      </w:r>
      <w:r w:rsidRPr="00557EA0">
        <w:rPr>
          <w:szCs w:val="22"/>
        </w:rPr>
        <w:t xml:space="preserve"> NAAQS NMAAQS:</w:t>
      </w:r>
    </w:p>
    <w:p w:rsidR="00BE4E4B" w:rsidRPr="00557EA0" w:rsidRDefault="00BE4E4B" w:rsidP="00BE4E4B">
      <w:pPr>
        <w:pStyle w:val="Heading6"/>
        <w:spacing w:after="0"/>
        <w:rPr>
          <w:sz w:val="22"/>
          <w:szCs w:val="22"/>
        </w:rPr>
      </w:pPr>
      <w:r w:rsidRPr="00557EA0">
        <w:rPr>
          <w:sz w:val="22"/>
          <w:szCs w:val="22"/>
        </w:rPr>
        <w:t>Table 1</w:t>
      </w:r>
    </w:p>
    <w:p w:rsidR="00BE4E4B" w:rsidRPr="00557EA0" w:rsidRDefault="00BE4E4B" w:rsidP="00BE4E4B">
      <w:pPr>
        <w:keepNext/>
        <w:spacing w:before="0" w:after="120"/>
        <w:jc w:val="center"/>
        <w:rPr>
          <w:sz w:val="22"/>
          <w:szCs w:val="22"/>
        </w:rPr>
      </w:pPr>
      <w:r w:rsidRPr="00557EA0">
        <w:rPr>
          <w:sz w:val="22"/>
          <w:szCs w:val="22"/>
        </w:rPr>
        <w:t>SIL, NAAQS and NMAAQS</w:t>
      </w:r>
    </w:p>
    <w:tbl>
      <w:tblPr>
        <w:tblW w:w="9237" w:type="dxa"/>
        <w:tblInd w:w="108" w:type="dxa"/>
        <w:tblBorders>
          <w:top w:val="double" w:sz="4" w:space="0" w:color="auto"/>
          <w:left w:val="double" w:sz="4" w:space="0" w:color="auto"/>
          <w:bottom w:val="double" w:sz="4" w:space="0" w:color="auto"/>
          <w:right w:val="double" w:sz="4" w:space="0" w:color="auto"/>
          <w:insideV w:val="single" w:sz="4" w:space="0" w:color="auto"/>
        </w:tblBorders>
        <w:tblLayout w:type="fixed"/>
        <w:tblLook w:val="0000" w:firstRow="0" w:lastRow="0" w:firstColumn="0" w:lastColumn="0" w:noHBand="0" w:noVBand="0"/>
      </w:tblPr>
      <w:tblGrid>
        <w:gridCol w:w="1847"/>
        <w:gridCol w:w="1847"/>
        <w:gridCol w:w="1848"/>
        <w:gridCol w:w="1847"/>
        <w:gridCol w:w="1848"/>
      </w:tblGrid>
      <w:tr w:rsidR="00A52E9E" w:rsidRPr="00557EA0" w:rsidTr="00A52E9E">
        <w:trPr>
          <w:cantSplit/>
        </w:trPr>
        <w:tc>
          <w:tcPr>
            <w:tcW w:w="1847" w:type="dxa"/>
            <w:tcBorders>
              <w:top w:val="double" w:sz="4" w:space="0" w:color="auto"/>
              <w:bottom w:val="single" w:sz="4" w:space="0" w:color="auto"/>
            </w:tcBorders>
          </w:tcPr>
          <w:p w:rsidR="00A52E9E" w:rsidRPr="00557EA0" w:rsidRDefault="00A52E9E" w:rsidP="00855860">
            <w:pPr>
              <w:keepNext/>
              <w:spacing w:before="0"/>
              <w:jc w:val="center"/>
              <w:rPr>
                <w:sz w:val="22"/>
                <w:szCs w:val="22"/>
              </w:rPr>
            </w:pPr>
          </w:p>
          <w:p w:rsidR="00A52E9E" w:rsidRPr="00557EA0" w:rsidRDefault="00A52E9E" w:rsidP="00855860">
            <w:pPr>
              <w:keepNext/>
              <w:spacing w:before="0"/>
              <w:jc w:val="center"/>
              <w:rPr>
                <w:sz w:val="22"/>
                <w:szCs w:val="22"/>
              </w:rPr>
            </w:pPr>
            <w:r w:rsidRPr="00557EA0">
              <w:rPr>
                <w:sz w:val="22"/>
                <w:szCs w:val="22"/>
              </w:rPr>
              <w:t>Pollutant</w:t>
            </w:r>
          </w:p>
        </w:tc>
        <w:tc>
          <w:tcPr>
            <w:tcW w:w="1847" w:type="dxa"/>
            <w:tcBorders>
              <w:top w:val="double" w:sz="4" w:space="0" w:color="auto"/>
              <w:bottom w:val="single" w:sz="4" w:space="0" w:color="auto"/>
            </w:tcBorders>
          </w:tcPr>
          <w:p w:rsidR="00A52E9E" w:rsidRPr="00557EA0" w:rsidRDefault="00A52E9E" w:rsidP="00855860">
            <w:pPr>
              <w:keepNext/>
              <w:spacing w:before="0"/>
              <w:jc w:val="center"/>
              <w:rPr>
                <w:sz w:val="22"/>
                <w:szCs w:val="22"/>
              </w:rPr>
            </w:pPr>
            <w:r w:rsidRPr="00557EA0">
              <w:rPr>
                <w:sz w:val="22"/>
                <w:szCs w:val="22"/>
              </w:rPr>
              <w:t>Averaging</w:t>
            </w:r>
          </w:p>
          <w:p w:rsidR="00A52E9E" w:rsidRPr="00557EA0" w:rsidRDefault="00A52E9E" w:rsidP="00855860">
            <w:pPr>
              <w:keepNext/>
              <w:spacing w:before="0"/>
              <w:jc w:val="center"/>
              <w:rPr>
                <w:sz w:val="22"/>
                <w:szCs w:val="22"/>
              </w:rPr>
            </w:pPr>
            <w:r w:rsidRPr="00557EA0">
              <w:rPr>
                <w:sz w:val="22"/>
                <w:szCs w:val="22"/>
              </w:rPr>
              <w:t>Period</w:t>
            </w:r>
          </w:p>
        </w:tc>
        <w:tc>
          <w:tcPr>
            <w:tcW w:w="1848" w:type="dxa"/>
            <w:tcBorders>
              <w:top w:val="double" w:sz="4" w:space="0" w:color="auto"/>
              <w:bottom w:val="single" w:sz="4" w:space="0" w:color="auto"/>
            </w:tcBorders>
          </w:tcPr>
          <w:p w:rsidR="00A52E9E" w:rsidRPr="00557EA0" w:rsidRDefault="00A52E9E" w:rsidP="00855860">
            <w:pPr>
              <w:keepNext/>
              <w:spacing w:before="0"/>
              <w:jc w:val="center"/>
              <w:rPr>
                <w:sz w:val="22"/>
                <w:szCs w:val="22"/>
              </w:rPr>
            </w:pPr>
            <w:r w:rsidRPr="00557EA0">
              <w:rPr>
                <w:sz w:val="22"/>
                <w:szCs w:val="22"/>
              </w:rPr>
              <w:t>SIL</w:t>
            </w:r>
          </w:p>
          <w:p w:rsidR="00A52E9E" w:rsidRPr="00557EA0" w:rsidRDefault="00A52E9E" w:rsidP="00855860">
            <w:pPr>
              <w:keepNext/>
              <w:spacing w:before="0"/>
              <w:jc w:val="center"/>
              <w:rPr>
                <w:sz w:val="22"/>
                <w:szCs w:val="22"/>
              </w:rPr>
            </w:pPr>
            <w:r w:rsidRPr="00557EA0">
              <w:rPr>
                <w:sz w:val="22"/>
                <w:szCs w:val="22"/>
              </w:rPr>
              <w:t>(</w:t>
            </w:r>
            <w:r w:rsidRPr="00557EA0">
              <w:rPr>
                <w:sz w:val="22"/>
                <w:szCs w:val="22"/>
              </w:rPr>
              <w:sym w:font="Symbol" w:char="F06D"/>
            </w:r>
            <w:r w:rsidRPr="00557EA0">
              <w:rPr>
                <w:sz w:val="22"/>
                <w:szCs w:val="22"/>
              </w:rPr>
              <w:t>g/m</w:t>
            </w:r>
            <w:r w:rsidRPr="00557EA0">
              <w:rPr>
                <w:sz w:val="22"/>
                <w:szCs w:val="22"/>
                <w:vertAlign w:val="superscript"/>
              </w:rPr>
              <w:t>3</w:t>
            </w:r>
            <w:r w:rsidRPr="00557EA0">
              <w:rPr>
                <w:sz w:val="22"/>
                <w:szCs w:val="22"/>
              </w:rPr>
              <w:t>)</w:t>
            </w:r>
          </w:p>
        </w:tc>
        <w:tc>
          <w:tcPr>
            <w:tcW w:w="1847" w:type="dxa"/>
            <w:tcBorders>
              <w:top w:val="double" w:sz="4" w:space="0" w:color="auto"/>
              <w:bottom w:val="single" w:sz="4" w:space="0" w:color="auto"/>
            </w:tcBorders>
          </w:tcPr>
          <w:p w:rsidR="00A52E9E" w:rsidRPr="00557EA0" w:rsidRDefault="00A52E9E" w:rsidP="00855860">
            <w:pPr>
              <w:keepNext/>
              <w:spacing w:before="0"/>
              <w:jc w:val="center"/>
              <w:rPr>
                <w:sz w:val="22"/>
                <w:szCs w:val="22"/>
              </w:rPr>
            </w:pPr>
            <w:r w:rsidRPr="00557EA0">
              <w:rPr>
                <w:sz w:val="22"/>
                <w:szCs w:val="22"/>
              </w:rPr>
              <w:t>NAAQS</w:t>
            </w:r>
          </w:p>
          <w:p w:rsidR="00A52E9E" w:rsidRPr="00557EA0" w:rsidRDefault="00A52E9E" w:rsidP="00855860">
            <w:pPr>
              <w:keepNext/>
              <w:spacing w:before="0"/>
              <w:jc w:val="center"/>
              <w:rPr>
                <w:sz w:val="22"/>
                <w:szCs w:val="22"/>
              </w:rPr>
            </w:pPr>
            <w:r w:rsidRPr="00557EA0">
              <w:rPr>
                <w:sz w:val="22"/>
                <w:szCs w:val="22"/>
              </w:rPr>
              <w:t>(</w:t>
            </w:r>
            <w:r w:rsidRPr="00557EA0">
              <w:rPr>
                <w:sz w:val="22"/>
                <w:szCs w:val="22"/>
              </w:rPr>
              <w:sym w:font="Symbol" w:char="F06D"/>
            </w:r>
            <w:r w:rsidRPr="00557EA0">
              <w:rPr>
                <w:sz w:val="22"/>
                <w:szCs w:val="22"/>
              </w:rPr>
              <w:t>g/m</w:t>
            </w:r>
            <w:r w:rsidRPr="00557EA0">
              <w:rPr>
                <w:sz w:val="22"/>
                <w:szCs w:val="22"/>
                <w:vertAlign w:val="superscript"/>
              </w:rPr>
              <w:t>3</w:t>
            </w:r>
            <w:r w:rsidRPr="00557EA0">
              <w:rPr>
                <w:sz w:val="22"/>
                <w:szCs w:val="22"/>
              </w:rPr>
              <w:t>)</w:t>
            </w:r>
          </w:p>
        </w:tc>
        <w:tc>
          <w:tcPr>
            <w:tcW w:w="1848" w:type="dxa"/>
            <w:tcBorders>
              <w:top w:val="double" w:sz="4" w:space="0" w:color="auto"/>
              <w:bottom w:val="single" w:sz="4" w:space="0" w:color="auto"/>
            </w:tcBorders>
          </w:tcPr>
          <w:p w:rsidR="00A52E9E" w:rsidRPr="00557EA0" w:rsidRDefault="00A52E9E" w:rsidP="00855860">
            <w:pPr>
              <w:keepNext/>
              <w:spacing w:before="0"/>
              <w:jc w:val="center"/>
              <w:rPr>
                <w:sz w:val="22"/>
                <w:szCs w:val="22"/>
              </w:rPr>
            </w:pPr>
            <w:r w:rsidRPr="00557EA0">
              <w:rPr>
                <w:sz w:val="22"/>
                <w:szCs w:val="22"/>
              </w:rPr>
              <w:t>NMAAQS</w:t>
            </w:r>
          </w:p>
          <w:p w:rsidR="00A52E9E" w:rsidRPr="00557EA0" w:rsidRDefault="00A52E9E" w:rsidP="00855860">
            <w:pPr>
              <w:keepNext/>
              <w:spacing w:before="0"/>
              <w:jc w:val="center"/>
              <w:rPr>
                <w:sz w:val="22"/>
                <w:szCs w:val="22"/>
              </w:rPr>
            </w:pPr>
            <w:r w:rsidRPr="00557EA0">
              <w:rPr>
                <w:sz w:val="22"/>
                <w:szCs w:val="22"/>
              </w:rPr>
              <w:t>(</w:t>
            </w:r>
            <w:r w:rsidRPr="00557EA0">
              <w:rPr>
                <w:sz w:val="22"/>
                <w:szCs w:val="22"/>
              </w:rPr>
              <w:sym w:font="Symbol" w:char="F06D"/>
            </w:r>
            <w:r w:rsidRPr="00557EA0">
              <w:rPr>
                <w:sz w:val="22"/>
                <w:szCs w:val="22"/>
              </w:rPr>
              <w:t>g/m</w:t>
            </w:r>
            <w:r w:rsidRPr="00557EA0">
              <w:rPr>
                <w:sz w:val="22"/>
                <w:szCs w:val="22"/>
                <w:vertAlign w:val="superscript"/>
              </w:rPr>
              <w:t>3</w:t>
            </w:r>
            <w:r w:rsidRPr="00557EA0">
              <w:rPr>
                <w:sz w:val="22"/>
                <w:szCs w:val="22"/>
              </w:rPr>
              <w:t>)</w:t>
            </w:r>
          </w:p>
        </w:tc>
      </w:tr>
      <w:tr w:rsidR="00A52E9E" w:rsidRPr="00557EA0" w:rsidTr="00A52E9E">
        <w:trPr>
          <w:cantSplit/>
        </w:trPr>
        <w:tc>
          <w:tcPr>
            <w:tcW w:w="1847" w:type="dxa"/>
            <w:tcBorders>
              <w:top w:val="nil"/>
              <w:bottom w:val="nil"/>
            </w:tcBorders>
          </w:tcPr>
          <w:p w:rsidR="00A52E9E" w:rsidRPr="00557EA0" w:rsidRDefault="00A52E9E" w:rsidP="00855860">
            <w:pPr>
              <w:keepNext/>
              <w:spacing w:before="0"/>
              <w:rPr>
                <w:sz w:val="22"/>
                <w:szCs w:val="22"/>
              </w:rPr>
            </w:pPr>
            <w:proofErr w:type="spellStart"/>
            <w:r w:rsidRPr="00557EA0">
              <w:rPr>
                <w:sz w:val="22"/>
                <w:szCs w:val="22"/>
              </w:rPr>
              <w:t>Pb</w:t>
            </w:r>
            <w:proofErr w:type="spellEnd"/>
          </w:p>
        </w:tc>
        <w:tc>
          <w:tcPr>
            <w:tcW w:w="1847" w:type="dxa"/>
            <w:tcBorders>
              <w:top w:val="nil"/>
              <w:bottom w:val="nil"/>
            </w:tcBorders>
          </w:tcPr>
          <w:p w:rsidR="00A52E9E" w:rsidRPr="00557EA0" w:rsidRDefault="00A52E9E" w:rsidP="00855860">
            <w:pPr>
              <w:keepNext/>
              <w:spacing w:before="0"/>
              <w:jc w:val="center"/>
              <w:rPr>
                <w:sz w:val="22"/>
                <w:szCs w:val="22"/>
              </w:rPr>
            </w:pPr>
            <w:r w:rsidRPr="00557EA0">
              <w:rPr>
                <w:sz w:val="22"/>
                <w:szCs w:val="22"/>
              </w:rPr>
              <w:t>Quarterly</w:t>
            </w:r>
          </w:p>
        </w:tc>
        <w:tc>
          <w:tcPr>
            <w:tcW w:w="1848" w:type="dxa"/>
            <w:tcBorders>
              <w:top w:val="nil"/>
              <w:bottom w:val="nil"/>
            </w:tcBorders>
          </w:tcPr>
          <w:p w:rsidR="00A52E9E" w:rsidRPr="00557EA0" w:rsidRDefault="00A52E9E" w:rsidP="00855860">
            <w:pPr>
              <w:keepNext/>
              <w:spacing w:before="0"/>
              <w:jc w:val="center"/>
              <w:rPr>
                <w:sz w:val="22"/>
                <w:szCs w:val="22"/>
              </w:rPr>
            </w:pPr>
            <w:r w:rsidRPr="00557EA0">
              <w:rPr>
                <w:sz w:val="22"/>
                <w:szCs w:val="22"/>
              </w:rPr>
              <w:t>0.03</w:t>
            </w:r>
          </w:p>
        </w:tc>
        <w:tc>
          <w:tcPr>
            <w:tcW w:w="1847" w:type="dxa"/>
            <w:tcBorders>
              <w:top w:val="nil"/>
              <w:bottom w:val="nil"/>
            </w:tcBorders>
          </w:tcPr>
          <w:p w:rsidR="00A52E9E" w:rsidRPr="00557EA0" w:rsidRDefault="00A52E9E" w:rsidP="00855860">
            <w:pPr>
              <w:keepNext/>
              <w:spacing w:before="0"/>
              <w:jc w:val="center"/>
              <w:rPr>
                <w:sz w:val="22"/>
                <w:szCs w:val="22"/>
              </w:rPr>
            </w:pPr>
            <w:r w:rsidRPr="00557EA0">
              <w:rPr>
                <w:sz w:val="22"/>
                <w:szCs w:val="22"/>
              </w:rPr>
              <w:t>0.15</w:t>
            </w:r>
          </w:p>
        </w:tc>
        <w:tc>
          <w:tcPr>
            <w:tcW w:w="1848" w:type="dxa"/>
            <w:tcBorders>
              <w:top w:val="nil"/>
              <w:bottom w:val="nil"/>
            </w:tcBorders>
          </w:tcPr>
          <w:p w:rsidR="00A52E9E" w:rsidRPr="00557EA0" w:rsidRDefault="00A52E9E" w:rsidP="00855860">
            <w:pPr>
              <w:keepNext/>
              <w:spacing w:before="0"/>
              <w:jc w:val="center"/>
              <w:rPr>
                <w:sz w:val="22"/>
                <w:szCs w:val="22"/>
              </w:rPr>
            </w:pPr>
          </w:p>
        </w:tc>
      </w:tr>
      <w:tr w:rsidR="00A52E9E" w:rsidRPr="00557EA0" w:rsidTr="00A52E9E">
        <w:trPr>
          <w:cantSplit/>
        </w:trPr>
        <w:tc>
          <w:tcPr>
            <w:tcW w:w="1847" w:type="dxa"/>
            <w:tcBorders>
              <w:top w:val="nil"/>
              <w:bottom w:val="nil"/>
            </w:tcBorders>
          </w:tcPr>
          <w:p w:rsidR="00A52E9E" w:rsidRPr="00557EA0" w:rsidRDefault="00A52E9E" w:rsidP="00855860">
            <w:pPr>
              <w:keepNext/>
              <w:spacing w:before="0"/>
              <w:rPr>
                <w:sz w:val="22"/>
                <w:szCs w:val="22"/>
              </w:rPr>
            </w:pPr>
            <w:r w:rsidRPr="00557EA0">
              <w:rPr>
                <w:sz w:val="22"/>
                <w:szCs w:val="22"/>
              </w:rPr>
              <w:t>NO</w:t>
            </w:r>
            <w:r w:rsidRPr="00557EA0">
              <w:rPr>
                <w:sz w:val="22"/>
                <w:szCs w:val="22"/>
                <w:vertAlign w:val="subscript"/>
              </w:rPr>
              <w:t>2</w:t>
            </w:r>
          </w:p>
        </w:tc>
        <w:tc>
          <w:tcPr>
            <w:tcW w:w="1847" w:type="dxa"/>
            <w:tcBorders>
              <w:top w:val="nil"/>
              <w:bottom w:val="nil"/>
            </w:tcBorders>
          </w:tcPr>
          <w:p w:rsidR="00A52E9E" w:rsidRPr="00557EA0" w:rsidRDefault="00A52E9E" w:rsidP="00855860">
            <w:pPr>
              <w:keepNext/>
              <w:spacing w:before="0"/>
              <w:jc w:val="center"/>
              <w:rPr>
                <w:sz w:val="22"/>
                <w:szCs w:val="22"/>
              </w:rPr>
            </w:pPr>
            <w:r w:rsidRPr="00557EA0">
              <w:rPr>
                <w:sz w:val="22"/>
                <w:szCs w:val="22"/>
              </w:rPr>
              <w:t>1-Hour</w:t>
            </w:r>
          </w:p>
        </w:tc>
        <w:tc>
          <w:tcPr>
            <w:tcW w:w="1848" w:type="dxa"/>
            <w:tcBorders>
              <w:top w:val="nil"/>
              <w:bottom w:val="nil"/>
            </w:tcBorders>
          </w:tcPr>
          <w:p w:rsidR="00A52E9E" w:rsidRPr="00557EA0" w:rsidRDefault="00A52E9E" w:rsidP="00855860">
            <w:pPr>
              <w:keepNext/>
              <w:spacing w:before="0"/>
              <w:jc w:val="center"/>
              <w:rPr>
                <w:sz w:val="22"/>
                <w:szCs w:val="22"/>
              </w:rPr>
            </w:pPr>
            <w:r w:rsidRPr="00557EA0">
              <w:rPr>
                <w:sz w:val="22"/>
                <w:szCs w:val="22"/>
              </w:rPr>
              <w:t>7.52</w:t>
            </w:r>
          </w:p>
        </w:tc>
        <w:tc>
          <w:tcPr>
            <w:tcW w:w="1847" w:type="dxa"/>
            <w:tcBorders>
              <w:top w:val="nil"/>
              <w:bottom w:val="nil"/>
            </w:tcBorders>
          </w:tcPr>
          <w:p w:rsidR="00A52E9E" w:rsidRPr="00557EA0" w:rsidRDefault="00A52E9E" w:rsidP="00855860">
            <w:pPr>
              <w:keepNext/>
              <w:spacing w:before="0"/>
              <w:jc w:val="center"/>
              <w:rPr>
                <w:sz w:val="22"/>
                <w:szCs w:val="22"/>
              </w:rPr>
            </w:pPr>
            <w:r w:rsidRPr="00557EA0">
              <w:rPr>
                <w:sz w:val="22"/>
                <w:szCs w:val="22"/>
              </w:rPr>
              <w:t>188.03</w:t>
            </w:r>
          </w:p>
        </w:tc>
        <w:tc>
          <w:tcPr>
            <w:tcW w:w="1848" w:type="dxa"/>
            <w:tcBorders>
              <w:top w:val="nil"/>
              <w:bottom w:val="nil"/>
            </w:tcBorders>
          </w:tcPr>
          <w:p w:rsidR="00A52E9E" w:rsidRPr="00557EA0" w:rsidRDefault="00A52E9E" w:rsidP="00855860">
            <w:pPr>
              <w:keepNext/>
              <w:spacing w:before="0"/>
              <w:jc w:val="center"/>
              <w:rPr>
                <w:sz w:val="22"/>
                <w:szCs w:val="22"/>
              </w:rPr>
            </w:pPr>
          </w:p>
        </w:tc>
      </w:tr>
      <w:tr w:rsidR="00A52E9E" w:rsidRPr="00557EA0" w:rsidTr="00FA2DD9">
        <w:trPr>
          <w:cantSplit/>
        </w:trPr>
        <w:tc>
          <w:tcPr>
            <w:tcW w:w="1847" w:type="dxa"/>
            <w:tcBorders>
              <w:top w:val="nil"/>
              <w:bottom w:val="double" w:sz="4" w:space="0" w:color="auto"/>
            </w:tcBorders>
          </w:tcPr>
          <w:p w:rsidR="00A52E9E" w:rsidRPr="00557EA0" w:rsidRDefault="00A52E9E" w:rsidP="00855860">
            <w:pPr>
              <w:keepNext/>
              <w:spacing w:before="0"/>
              <w:rPr>
                <w:sz w:val="22"/>
                <w:szCs w:val="22"/>
              </w:rPr>
            </w:pPr>
            <w:r w:rsidRPr="00557EA0">
              <w:rPr>
                <w:sz w:val="22"/>
                <w:szCs w:val="22"/>
              </w:rPr>
              <w:t>SO2</w:t>
            </w:r>
          </w:p>
        </w:tc>
        <w:tc>
          <w:tcPr>
            <w:tcW w:w="1847" w:type="dxa"/>
            <w:tcBorders>
              <w:top w:val="nil"/>
              <w:bottom w:val="double" w:sz="4" w:space="0" w:color="auto"/>
            </w:tcBorders>
          </w:tcPr>
          <w:p w:rsidR="00A52E9E" w:rsidRPr="00557EA0" w:rsidRDefault="00A52E9E" w:rsidP="00855860">
            <w:pPr>
              <w:keepNext/>
              <w:spacing w:before="0"/>
              <w:jc w:val="center"/>
              <w:rPr>
                <w:sz w:val="22"/>
                <w:szCs w:val="22"/>
              </w:rPr>
            </w:pPr>
            <w:r w:rsidRPr="00557EA0">
              <w:rPr>
                <w:sz w:val="22"/>
                <w:szCs w:val="22"/>
              </w:rPr>
              <w:t>1-Hour</w:t>
            </w:r>
          </w:p>
        </w:tc>
        <w:tc>
          <w:tcPr>
            <w:tcW w:w="1848" w:type="dxa"/>
            <w:tcBorders>
              <w:top w:val="nil"/>
              <w:bottom w:val="double" w:sz="4" w:space="0" w:color="auto"/>
            </w:tcBorders>
          </w:tcPr>
          <w:p w:rsidR="00A52E9E" w:rsidRPr="00557EA0" w:rsidRDefault="00A52E9E" w:rsidP="00855860">
            <w:pPr>
              <w:keepNext/>
              <w:spacing w:before="0"/>
              <w:jc w:val="center"/>
              <w:rPr>
                <w:sz w:val="22"/>
                <w:szCs w:val="22"/>
              </w:rPr>
            </w:pPr>
            <w:r w:rsidRPr="00557EA0">
              <w:rPr>
                <w:sz w:val="22"/>
                <w:szCs w:val="22"/>
              </w:rPr>
              <w:t>500</w:t>
            </w:r>
          </w:p>
        </w:tc>
        <w:tc>
          <w:tcPr>
            <w:tcW w:w="1847" w:type="dxa"/>
            <w:tcBorders>
              <w:top w:val="nil"/>
              <w:bottom w:val="double" w:sz="4" w:space="0" w:color="auto"/>
            </w:tcBorders>
          </w:tcPr>
          <w:p w:rsidR="00A52E9E" w:rsidRPr="00557EA0" w:rsidRDefault="00A52E9E" w:rsidP="00855860">
            <w:pPr>
              <w:keepNext/>
              <w:spacing w:before="0"/>
              <w:jc w:val="center"/>
              <w:rPr>
                <w:sz w:val="22"/>
                <w:szCs w:val="22"/>
              </w:rPr>
            </w:pPr>
            <w:r w:rsidRPr="00557EA0">
              <w:rPr>
                <w:sz w:val="22"/>
                <w:szCs w:val="22"/>
              </w:rPr>
              <w:t>196.4</w:t>
            </w:r>
          </w:p>
        </w:tc>
        <w:tc>
          <w:tcPr>
            <w:tcW w:w="1848" w:type="dxa"/>
            <w:tcBorders>
              <w:top w:val="nil"/>
              <w:bottom w:val="double" w:sz="4" w:space="0" w:color="auto"/>
            </w:tcBorders>
          </w:tcPr>
          <w:p w:rsidR="00A52E9E" w:rsidRPr="00557EA0" w:rsidRDefault="00A52E9E" w:rsidP="00855860">
            <w:pPr>
              <w:keepNext/>
              <w:spacing w:before="0"/>
              <w:jc w:val="center"/>
              <w:rPr>
                <w:sz w:val="22"/>
                <w:szCs w:val="22"/>
              </w:rPr>
            </w:pPr>
            <w:r w:rsidRPr="00557EA0">
              <w:rPr>
                <w:sz w:val="22"/>
                <w:szCs w:val="22"/>
              </w:rPr>
              <w:t>--</w:t>
            </w:r>
          </w:p>
        </w:tc>
      </w:tr>
    </w:tbl>
    <w:p w:rsidR="007C663C" w:rsidRPr="00557EA0" w:rsidRDefault="00637C01" w:rsidP="007C663C">
      <w:pPr>
        <w:pStyle w:val="BodyText2"/>
        <w:rPr>
          <w:sz w:val="22"/>
          <w:szCs w:val="22"/>
        </w:rPr>
      </w:pPr>
      <w:r w:rsidRPr="00557EA0">
        <w:rPr>
          <w:sz w:val="22"/>
          <w:szCs w:val="22"/>
        </w:rPr>
        <w:t xml:space="preserve">It is planned that </w:t>
      </w:r>
      <w:proofErr w:type="spellStart"/>
      <w:r w:rsidR="006714BD" w:rsidRPr="00557EA0">
        <w:rPr>
          <w:sz w:val="22"/>
          <w:szCs w:val="22"/>
        </w:rPr>
        <w:t>Pb</w:t>
      </w:r>
      <w:proofErr w:type="spellEnd"/>
      <w:r w:rsidR="006714BD" w:rsidRPr="00557EA0">
        <w:rPr>
          <w:sz w:val="22"/>
          <w:szCs w:val="22"/>
        </w:rPr>
        <w:t xml:space="preserve"> impacts will be evaluated using the high monthly average impact.  Post processing will be used to determine quarterly impacts</w:t>
      </w:r>
      <w:r w:rsidR="007C663C" w:rsidRPr="00557EA0">
        <w:rPr>
          <w:sz w:val="22"/>
          <w:szCs w:val="22"/>
        </w:rPr>
        <w:t>,</w:t>
      </w:r>
      <w:r w:rsidR="006714BD" w:rsidRPr="00557EA0">
        <w:rPr>
          <w:sz w:val="22"/>
          <w:szCs w:val="22"/>
        </w:rPr>
        <w:t xml:space="preserve"> if necessary.</w:t>
      </w:r>
      <w:r w:rsidR="007C663C" w:rsidRPr="00557EA0">
        <w:rPr>
          <w:sz w:val="22"/>
          <w:szCs w:val="22"/>
        </w:rPr>
        <w:t xml:space="preserve">  </w:t>
      </w:r>
      <w:r w:rsidR="002A1187" w:rsidRPr="00557EA0">
        <w:rPr>
          <w:sz w:val="22"/>
          <w:szCs w:val="22"/>
        </w:rPr>
        <w:t xml:space="preserve">The </w:t>
      </w:r>
      <w:r w:rsidR="007C663C" w:rsidRPr="00557EA0">
        <w:rPr>
          <w:sz w:val="22"/>
          <w:szCs w:val="22"/>
        </w:rPr>
        <w:t>high-eighth-high daily maximum 1-hour NO</w:t>
      </w:r>
      <w:r w:rsidR="007C663C" w:rsidRPr="00557EA0">
        <w:rPr>
          <w:sz w:val="22"/>
          <w:szCs w:val="22"/>
          <w:vertAlign w:val="subscript"/>
        </w:rPr>
        <w:t>2</w:t>
      </w:r>
      <w:r w:rsidR="007C663C" w:rsidRPr="00557EA0">
        <w:rPr>
          <w:sz w:val="22"/>
          <w:szCs w:val="22"/>
        </w:rPr>
        <w:t xml:space="preserve"> </w:t>
      </w:r>
      <w:r w:rsidR="007C663C" w:rsidRPr="00557EA0">
        <w:rPr>
          <w:sz w:val="22"/>
          <w:szCs w:val="22"/>
        </w:rPr>
        <w:lastRenderedPageBreak/>
        <w:t>concentration will be used to evaluate compliance with the NAAQS.  The high-fourth-high daily maximum 1-hour SO</w:t>
      </w:r>
      <w:r w:rsidR="007C663C" w:rsidRPr="00557EA0">
        <w:rPr>
          <w:sz w:val="22"/>
          <w:szCs w:val="22"/>
          <w:vertAlign w:val="subscript"/>
        </w:rPr>
        <w:t>2</w:t>
      </w:r>
      <w:r w:rsidR="007C663C" w:rsidRPr="00557EA0">
        <w:rPr>
          <w:sz w:val="22"/>
          <w:szCs w:val="22"/>
        </w:rPr>
        <w:t xml:space="preserve"> concentration will be used to evaluate compliance with the NAAQS.</w:t>
      </w:r>
    </w:p>
    <w:p w:rsidR="002A1187" w:rsidRPr="00557EA0" w:rsidRDefault="002A1187" w:rsidP="002A1187">
      <w:pPr>
        <w:pStyle w:val="BodyText2"/>
        <w:rPr>
          <w:sz w:val="22"/>
          <w:szCs w:val="22"/>
        </w:rPr>
      </w:pPr>
      <w:r w:rsidRPr="00557EA0">
        <w:rPr>
          <w:sz w:val="22"/>
          <w:szCs w:val="22"/>
        </w:rPr>
        <w:t>The facility is located in Air Quality Control Region 014, an attainment area for all pollutants; therefore, non-attainment modeling impacts will not be considered.</w:t>
      </w:r>
    </w:p>
    <w:p w:rsidR="008D37E3" w:rsidRPr="00557EA0" w:rsidRDefault="008D37E3" w:rsidP="008D37E3">
      <w:pPr>
        <w:keepNext/>
        <w:spacing w:before="120" w:after="120"/>
        <w:rPr>
          <w:b/>
          <w:sz w:val="22"/>
          <w:szCs w:val="22"/>
        </w:rPr>
      </w:pPr>
      <w:r w:rsidRPr="00557EA0">
        <w:rPr>
          <w:b/>
          <w:sz w:val="22"/>
          <w:szCs w:val="22"/>
        </w:rPr>
        <w:t>Dispersion Model</w:t>
      </w:r>
    </w:p>
    <w:p w:rsidR="008D37E3" w:rsidRPr="00557EA0" w:rsidRDefault="008D37E3" w:rsidP="008D37E3">
      <w:pPr>
        <w:pStyle w:val="Table"/>
        <w:spacing w:before="120" w:after="120"/>
        <w:rPr>
          <w:sz w:val="22"/>
          <w:szCs w:val="22"/>
        </w:rPr>
      </w:pPr>
      <w:r w:rsidRPr="00557EA0">
        <w:rPr>
          <w:sz w:val="22"/>
          <w:szCs w:val="22"/>
        </w:rPr>
        <w:t xml:space="preserve">Both </w:t>
      </w:r>
      <w:r w:rsidR="0020245E" w:rsidRPr="00557EA0">
        <w:rPr>
          <w:sz w:val="22"/>
          <w:szCs w:val="22"/>
        </w:rPr>
        <w:t>significant</w:t>
      </w:r>
      <w:r w:rsidRPr="00557EA0">
        <w:rPr>
          <w:sz w:val="22"/>
          <w:szCs w:val="22"/>
        </w:rPr>
        <w:t xml:space="preserve"> and cumulative impact modeling will be conducted using the latest version of the AMS/EPA Regulatory Model (AERMOD).  The Beeline Software BEEST for Windows modeling manager will be used to prepare the input files and manage processing.  Environmental Protection Agency (EPA) recommended defaults will be used.  As the station is located in a rural area, urban area modeling will not be conducted.</w:t>
      </w:r>
    </w:p>
    <w:p w:rsidR="00D276C4" w:rsidRPr="00557EA0" w:rsidRDefault="00D276C4" w:rsidP="008D37E3">
      <w:pPr>
        <w:pStyle w:val="Heading5"/>
        <w:widowControl/>
        <w:tabs>
          <w:tab w:val="clear" w:pos="-1440"/>
          <w:tab w:val="clear" w:pos="-720"/>
        </w:tabs>
        <w:suppressAutoHyphens w:val="0"/>
        <w:spacing w:before="120" w:after="120"/>
        <w:rPr>
          <w:bCs/>
          <w:sz w:val="22"/>
          <w:szCs w:val="22"/>
        </w:rPr>
      </w:pPr>
      <w:r w:rsidRPr="00557EA0">
        <w:rPr>
          <w:bCs/>
          <w:sz w:val="22"/>
          <w:szCs w:val="22"/>
        </w:rPr>
        <w:t>Methodology</w:t>
      </w:r>
    </w:p>
    <w:p w:rsidR="00A77D03" w:rsidRPr="00557EA0" w:rsidRDefault="00D07CF2" w:rsidP="00D07CF2">
      <w:pPr>
        <w:spacing w:before="120" w:after="120"/>
        <w:rPr>
          <w:spacing w:val="-3"/>
          <w:sz w:val="22"/>
          <w:szCs w:val="22"/>
        </w:rPr>
      </w:pPr>
      <w:r w:rsidRPr="00557EA0">
        <w:rPr>
          <w:sz w:val="22"/>
          <w:szCs w:val="22"/>
        </w:rPr>
        <w:t xml:space="preserve">The modeling will be conducted in accordance with this protocol and the </w:t>
      </w:r>
      <w:r w:rsidRPr="00557EA0">
        <w:rPr>
          <w:iCs/>
          <w:spacing w:val="-3"/>
          <w:sz w:val="22"/>
          <w:szCs w:val="22"/>
        </w:rPr>
        <w:t xml:space="preserve">NMAQB </w:t>
      </w:r>
      <w:r w:rsidR="004F6283" w:rsidRPr="00557EA0">
        <w:rPr>
          <w:iCs/>
          <w:spacing w:val="-3"/>
          <w:sz w:val="22"/>
          <w:szCs w:val="22"/>
        </w:rPr>
        <w:t>m</w:t>
      </w:r>
      <w:r w:rsidRPr="00557EA0">
        <w:rPr>
          <w:spacing w:val="-3"/>
          <w:sz w:val="22"/>
          <w:szCs w:val="22"/>
        </w:rPr>
        <w:t xml:space="preserve">odeling </w:t>
      </w:r>
      <w:r w:rsidR="004F6283" w:rsidRPr="00557EA0">
        <w:rPr>
          <w:spacing w:val="-3"/>
          <w:sz w:val="22"/>
          <w:szCs w:val="22"/>
        </w:rPr>
        <w:t>g</w:t>
      </w:r>
      <w:r w:rsidRPr="00557EA0">
        <w:rPr>
          <w:spacing w:val="-3"/>
          <w:sz w:val="22"/>
          <w:szCs w:val="22"/>
        </w:rPr>
        <w:t>uidelines.</w:t>
      </w:r>
      <w:r w:rsidR="00A77D03" w:rsidRPr="00557EA0">
        <w:rPr>
          <w:spacing w:val="-3"/>
          <w:sz w:val="22"/>
          <w:szCs w:val="22"/>
        </w:rPr>
        <w:t xml:space="preserve">  </w:t>
      </w:r>
      <w:r w:rsidRPr="00557EA0">
        <w:rPr>
          <w:spacing w:val="-3"/>
          <w:sz w:val="22"/>
          <w:szCs w:val="22"/>
        </w:rPr>
        <w:t xml:space="preserve">First, emissions from </w:t>
      </w:r>
      <w:r w:rsidR="00983BC9" w:rsidRPr="00557EA0">
        <w:rPr>
          <w:spacing w:val="-3"/>
          <w:sz w:val="22"/>
          <w:szCs w:val="22"/>
        </w:rPr>
        <w:t xml:space="preserve">all </w:t>
      </w:r>
      <w:r w:rsidR="006714BD" w:rsidRPr="00557EA0">
        <w:rPr>
          <w:spacing w:val="-3"/>
          <w:sz w:val="22"/>
          <w:szCs w:val="22"/>
        </w:rPr>
        <w:t xml:space="preserve">new or modified </w:t>
      </w:r>
      <w:proofErr w:type="spellStart"/>
      <w:r w:rsidRPr="00557EA0">
        <w:rPr>
          <w:spacing w:val="-3"/>
          <w:sz w:val="22"/>
          <w:szCs w:val="22"/>
        </w:rPr>
        <w:t>Kutz</w:t>
      </w:r>
      <w:proofErr w:type="spellEnd"/>
      <w:r w:rsidRPr="00557EA0">
        <w:rPr>
          <w:spacing w:val="-3"/>
          <w:sz w:val="22"/>
          <w:szCs w:val="22"/>
        </w:rPr>
        <w:t xml:space="preserve"> Canyon </w:t>
      </w:r>
      <w:r w:rsidR="00C9415C" w:rsidRPr="00557EA0">
        <w:rPr>
          <w:spacing w:val="-3"/>
          <w:sz w:val="22"/>
          <w:szCs w:val="22"/>
        </w:rPr>
        <w:t>Processing</w:t>
      </w:r>
      <w:r w:rsidRPr="00557EA0">
        <w:rPr>
          <w:spacing w:val="-3"/>
          <w:sz w:val="22"/>
          <w:szCs w:val="22"/>
        </w:rPr>
        <w:t xml:space="preserve"> Plant sources will be modeled to determine if there are significant impacts.</w:t>
      </w:r>
      <w:r w:rsidR="00C9415C" w:rsidRPr="00557EA0">
        <w:rPr>
          <w:spacing w:val="-3"/>
          <w:sz w:val="22"/>
          <w:szCs w:val="22"/>
        </w:rPr>
        <w:t xml:space="preserve">  </w:t>
      </w:r>
      <w:r w:rsidRPr="00557EA0">
        <w:rPr>
          <w:spacing w:val="-3"/>
          <w:sz w:val="22"/>
          <w:szCs w:val="22"/>
        </w:rPr>
        <w:t>For pollutant averaging periods where impacts are less than the SIL, no additional modeling will be conducted.</w:t>
      </w:r>
    </w:p>
    <w:p w:rsidR="00A77D03" w:rsidRPr="00557EA0" w:rsidRDefault="00A77D03" w:rsidP="00A77D03">
      <w:pPr>
        <w:spacing w:before="120" w:after="120"/>
        <w:rPr>
          <w:i/>
          <w:spacing w:val="-3"/>
          <w:sz w:val="22"/>
          <w:szCs w:val="22"/>
        </w:rPr>
      </w:pPr>
      <w:r w:rsidRPr="00557EA0">
        <w:rPr>
          <w:i/>
          <w:spacing w:val="-3"/>
          <w:sz w:val="22"/>
          <w:szCs w:val="22"/>
        </w:rPr>
        <w:t>NO</w:t>
      </w:r>
      <w:r w:rsidRPr="00557EA0">
        <w:rPr>
          <w:i/>
          <w:spacing w:val="-3"/>
          <w:sz w:val="22"/>
          <w:szCs w:val="22"/>
          <w:vertAlign w:val="subscript"/>
        </w:rPr>
        <w:t>2</w:t>
      </w:r>
      <w:r w:rsidRPr="00557EA0">
        <w:rPr>
          <w:i/>
          <w:spacing w:val="-3"/>
          <w:sz w:val="22"/>
          <w:szCs w:val="22"/>
        </w:rPr>
        <w:t xml:space="preserve"> and SO</w:t>
      </w:r>
      <w:r w:rsidRPr="00557EA0">
        <w:rPr>
          <w:i/>
          <w:spacing w:val="-3"/>
          <w:sz w:val="22"/>
          <w:szCs w:val="22"/>
          <w:vertAlign w:val="subscript"/>
        </w:rPr>
        <w:t>2</w:t>
      </w:r>
      <w:r w:rsidRPr="00557EA0">
        <w:rPr>
          <w:i/>
          <w:spacing w:val="-3"/>
          <w:sz w:val="22"/>
          <w:szCs w:val="22"/>
        </w:rPr>
        <w:t xml:space="preserve"> Modeling</w:t>
      </w:r>
    </w:p>
    <w:p w:rsidR="00D07CF2" w:rsidRPr="00557EA0" w:rsidRDefault="00A77D03" w:rsidP="00D07CF2">
      <w:pPr>
        <w:spacing w:before="120" w:after="120"/>
        <w:rPr>
          <w:spacing w:val="-3"/>
          <w:sz w:val="22"/>
          <w:szCs w:val="22"/>
        </w:rPr>
      </w:pPr>
      <w:r w:rsidRPr="00557EA0">
        <w:rPr>
          <w:spacing w:val="-3"/>
          <w:sz w:val="22"/>
          <w:szCs w:val="22"/>
        </w:rPr>
        <w:t>W</w:t>
      </w:r>
      <w:r w:rsidR="00D07CF2" w:rsidRPr="00557EA0">
        <w:rPr>
          <w:spacing w:val="-3"/>
          <w:sz w:val="22"/>
          <w:szCs w:val="22"/>
        </w:rPr>
        <w:t xml:space="preserve">here impacts exceed the SIL, cumulative impacts for comparison with the NAAQS will be determined using one of the methodologies identified in the modeling guidelines (facility impacts plus background concentrations </w:t>
      </w:r>
      <w:r w:rsidR="00D07CF2" w:rsidRPr="00557EA0">
        <w:rPr>
          <w:spacing w:val="-3"/>
          <w:sz w:val="22"/>
          <w:szCs w:val="22"/>
          <w:u w:val="single"/>
        </w:rPr>
        <w:t>or</w:t>
      </w:r>
      <w:r w:rsidR="00D07CF2" w:rsidRPr="00557EA0">
        <w:rPr>
          <w:spacing w:val="-3"/>
          <w:sz w:val="22"/>
          <w:szCs w:val="22"/>
        </w:rPr>
        <w:t xml:space="preserve"> facility </w:t>
      </w:r>
      <w:r w:rsidR="00591F3B" w:rsidRPr="00557EA0">
        <w:rPr>
          <w:spacing w:val="-3"/>
          <w:sz w:val="22"/>
          <w:szCs w:val="22"/>
        </w:rPr>
        <w:t>plus</w:t>
      </w:r>
      <w:r w:rsidR="00D07CF2" w:rsidRPr="00557EA0">
        <w:rPr>
          <w:spacing w:val="-3"/>
          <w:sz w:val="22"/>
          <w:szCs w:val="22"/>
        </w:rPr>
        <w:t xml:space="preserve"> neighboring source impacts).</w:t>
      </w:r>
    </w:p>
    <w:p w:rsidR="00A77D03" w:rsidRPr="00557EA0" w:rsidRDefault="00A77D03" w:rsidP="00D07CF2">
      <w:pPr>
        <w:spacing w:before="120" w:after="120"/>
        <w:rPr>
          <w:i/>
          <w:spacing w:val="-3"/>
          <w:sz w:val="22"/>
          <w:szCs w:val="22"/>
        </w:rPr>
      </w:pPr>
      <w:proofErr w:type="spellStart"/>
      <w:r w:rsidRPr="00557EA0">
        <w:rPr>
          <w:i/>
          <w:spacing w:val="-3"/>
          <w:sz w:val="22"/>
          <w:szCs w:val="22"/>
        </w:rPr>
        <w:t>Pb</w:t>
      </w:r>
      <w:proofErr w:type="spellEnd"/>
      <w:r w:rsidRPr="00557EA0">
        <w:rPr>
          <w:i/>
          <w:spacing w:val="-3"/>
          <w:sz w:val="22"/>
          <w:szCs w:val="22"/>
        </w:rPr>
        <w:t xml:space="preserve"> Modeling</w:t>
      </w:r>
    </w:p>
    <w:p w:rsidR="00A77D03" w:rsidRPr="00557EA0" w:rsidRDefault="00A77D03" w:rsidP="00D07CF2">
      <w:pPr>
        <w:spacing w:before="120" w:after="120"/>
        <w:rPr>
          <w:spacing w:val="-3"/>
          <w:sz w:val="22"/>
          <w:szCs w:val="22"/>
        </w:rPr>
      </w:pPr>
      <w:bookmarkStart w:id="2" w:name="_Hlk505930925"/>
      <w:r w:rsidRPr="00557EA0">
        <w:rPr>
          <w:spacing w:val="-3"/>
          <w:sz w:val="22"/>
          <w:szCs w:val="22"/>
        </w:rPr>
        <w:t>Where impacts exceed the SIL,</w:t>
      </w:r>
      <w:r w:rsidR="004F6283" w:rsidRPr="00557EA0">
        <w:rPr>
          <w:spacing w:val="-3"/>
          <w:sz w:val="22"/>
          <w:szCs w:val="22"/>
        </w:rPr>
        <w:t xml:space="preserve"> in accordance with direction provided in the NMAQB modeling guidelines, </w:t>
      </w:r>
      <w:r w:rsidRPr="00557EA0">
        <w:rPr>
          <w:spacing w:val="-3"/>
          <w:sz w:val="22"/>
          <w:szCs w:val="22"/>
        </w:rPr>
        <w:t xml:space="preserve">impacts for comparison with the NAAQS will be determined using all identified </w:t>
      </w:r>
      <w:proofErr w:type="spellStart"/>
      <w:r w:rsidRPr="00557EA0">
        <w:rPr>
          <w:spacing w:val="-3"/>
          <w:sz w:val="22"/>
          <w:szCs w:val="22"/>
        </w:rPr>
        <w:t>Pb</w:t>
      </w:r>
      <w:proofErr w:type="spellEnd"/>
      <w:r w:rsidRPr="00557EA0">
        <w:rPr>
          <w:spacing w:val="-3"/>
          <w:sz w:val="22"/>
          <w:szCs w:val="22"/>
        </w:rPr>
        <w:t xml:space="preserve"> emitting sources from the facility</w:t>
      </w:r>
      <w:r w:rsidR="00091207" w:rsidRPr="00557EA0">
        <w:rPr>
          <w:spacing w:val="-3"/>
          <w:sz w:val="22"/>
          <w:szCs w:val="22"/>
        </w:rPr>
        <w:t xml:space="preserve"> (no neighboring sources or background concentrations)</w:t>
      </w:r>
      <w:r w:rsidRPr="00557EA0">
        <w:rPr>
          <w:spacing w:val="-3"/>
          <w:sz w:val="22"/>
          <w:szCs w:val="22"/>
        </w:rPr>
        <w:t>.</w:t>
      </w:r>
      <w:bookmarkEnd w:id="2"/>
    </w:p>
    <w:p w:rsidR="00D276C4" w:rsidRPr="00557EA0" w:rsidRDefault="006E4D3C">
      <w:pPr>
        <w:pStyle w:val="Heading5"/>
        <w:widowControl/>
        <w:tabs>
          <w:tab w:val="clear" w:pos="-1440"/>
          <w:tab w:val="clear" w:pos="-720"/>
        </w:tabs>
        <w:suppressAutoHyphens w:val="0"/>
        <w:spacing w:before="120" w:after="120"/>
        <w:rPr>
          <w:sz w:val="22"/>
          <w:szCs w:val="22"/>
        </w:rPr>
      </w:pPr>
      <w:r w:rsidRPr="00557EA0">
        <w:rPr>
          <w:sz w:val="22"/>
          <w:szCs w:val="22"/>
        </w:rPr>
        <w:t xml:space="preserve">Facility </w:t>
      </w:r>
      <w:r w:rsidR="00D276C4" w:rsidRPr="00557EA0">
        <w:rPr>
          <w:sz w:val="22"/>
          <w:szCs w:val="22"/>
        </w:rPr>
        <w:t>Sources</w:t>
      </w:r>
    </w:p>
    <w:p w:rsidR="005451A5" w:rsidRPr="00557EA0" w:rsidRDefault="008D37E3" w:rsidP="008D37E3">
      <w:pPr>
        <w:suppressAutoHyphens/>
        <w:spacing w:before="120" w:after="120"/>
        <w:rPr>
          <w:sz w:val="22"/>
          <w:szCs w:val="22"/>
        </w:rPr>
      </w:pPr>
      <w:r w:rsidRPr="00557EA0">
        <w:rPr>
          <w:sz w:val="22"/>
          <w:szCs w:val="22"/>
        </w:rPr>
        <w:t xml:space="preserve">The </w:t>
      </w:r>
      <w:r w:rsidR="005451A5" w:rsidRPr="00557EA0">
        <w:rPr>
          <w:sz w:val="22"/>
          <w:szCs w:val="22"/>
        </w:rPr>
        <w:t xml:space="preserve">modeled emission rates will be the </w:t>
      </w:r>
      <w:r w:rsidRPr="00557EA0">
        <w:rPr>
          <w:sz w:val="22"/>
          <w:szCs w:val="22"/>
        </w:rPr>
        <w:t>pounds per hour emission rates identified in the application</w:t>
      </w:r>
      <w:r w:rsidR="005451A5" w:rsidRPr="00557EA0">
        <w:rPr>
          <w:sz w:val="22"/>
          <w:szCs w:val="22"/>
        </w:rPr>
        <w:t xml:space="preserve"> (except as noted below)</w:t>
      </w:r>
      <w:r w:rsidRPr="00557EA0">
        <w:rPr>
          <w:sz w:val="22"/>
          <w:szCs w:val="22"/>
        </w:rPr>
        <w:t>.</w:t>
      </w:r>
      <w:r w:rsidR="005451A5" w:rsidRPr="00557EA0">
        <w:rPr>
          <w:sz w:val="22"/>
          <w:szCs w:val="22"/>
        </w:rPr>
        <w:t xml:space="preserve">  Modeling will be conducted using stack parameters provided by manufacturers as identified in the application.</w:t>
      </w:r>
    </w:p>
    <w:p w:rsidR="008D37E3" w:rsidRPr="00557EA0" w:rsidRDefault="008D37E3" w:rsidP="008D37E3">
      <w:pPr>
        <w:suppressAutoHyphens/>
        <w:spacing w:before="120" w:after="120"/>
        <w:rPr>
          <w:sz w:val="22"/>
          <w:szCs w:val="22"/>
        </w:rPr>
      </w:pPr>
      <w:r w:rsidRPr="00557EA0">
        <w:rPr>
          <w:sz w:val="22"/>
          <w:szCs w:val="22"/>
        </w:rPr>
        <w:t xml:space="preserve">There are no </w:t>
      </w:r>
      <w:r w:rsidR="00F808AA" w:rsidRPr="00557EA0">
        <w:rPr>
          <w:sz w:val="22"/>
          <w:szCs w:val="22"/>
        </w:rPr>
        <w:t>NO</w:t>
      </w:r>
      <w:r w:rsidR="00F808AA" w:rsidRPr="00557EA0">
        <w:rPr>
          <w:sz w:val="22"/>
          <w:szCs w:val="22"/>
          <w:vertAlign w:val="subscript"/>
        </w:rPr>
        <w:t>X</w:t>
      </w:r>
      <w:r w:rsidR="00F808AA" w:rsidRPr="00557EA0">
        <w:rPr>
          <w:sz w:val="22"/>
          <w:szCs w:val="22"/>
        </w:rPr>
        <w:t>, CO, SO</w:t>
      </w:r>
      <w:r w:rsidR="00F808AA" w:rsidRPr="00557EA0">
        <w:rPr>
          <w:sz w:val="22"/>
          <w:szCs w:val="22"/>
          <w:vertAlign w:val="subscript"/>
        </w:rPr>
        <w:t>2</w:t>
      </w:r>
      <w:r w:rsidR="00F808AA" w:rsidRPr="00557EA0">
        <w:rPr>
          <w:sz w:val="22"/>
          <w:szCs w:val="22"/>
        </w:rPr>
        <w:t xml:space="preserve">, or particulate </w:t>
      </w:r>
      <w:r w:rsidRPr="00557EA0">
        <w:rPr>
          <w:sz w:val="22"/>
          <w:szCs w:val="22"/>
        </w:rPr>
        <w:t>startup, shutdown and maintenance (SSM) emissions associated with the sources.</w:t>
      </w:r>
    </w:p>
    <w:p w:rsidR="008D37E3" w:rsidRPr="00557EA0" w:rsidRDefault="008D37E3" w:rsidP="00424E2C">
      <w:pPr>
        <w:pStyle w:val="BodyText2"/>
        <w:spacing w:before="240"/>
        <w:rPr>
          <w:spacing w:val="-3"/>
          <w:sz w:val="22"/>
          <w:szCs w:val="22"/>
        </w:rPr>
      </w:pPr>
      <w:r w:rsidRPr="00557EA0">
        <w:rPr>
          <w:sz w:val="22"/>
          <w:szCs w:val="22"/>
        </w:rPr>
        <w:t>The coordinate system used to reference source locations will be of the Universal Transverse Mercator (UTM) convention (NAD83).  Terrain elevation data will be obtained from National Elevation Dataset (NED) data (1/3 second) taken from the United States Geological Survey (USGS) website.</w:t>
      </w:r>
    </w:p>
    <w:p w:rsidR="00D276C4" w:rsidRPr="00557EA0" w:rsidRDefault="00D276C4">
      <w:pPr>
        <w:pStyle w:val="Heading5"/>
        <w:widowControl/>
        <w:tabs>
          <w:tab w:val="clear" w:pos="-1440"/>
          <w:tab w:val="clear" w:pos="-720"/>
        </w:tabs>
        <w:spacing w:before="120" w:after="120"/>
        <w:rPr>
          <w:sz w:val="22"/>
          <w:szCs w:val="22"/>
        </w:rPr>
      </w:pPr>
      <w:r w:rsidRPr="00557EA0">
        <w:rPr>
          <w:sz w:val="22"/>
          <w:szCs w:val="22"/>
        </w:rPr>
        <w:lastRenderedPageBreak/>
        <w:t>Building Downwash</w:t>
      </w:r>
    </w:p>
    <w:p w:rsidR="00D276C4" w:rsidRPr="00557EA0" w:rsidRDefault="00D276C4">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after="120"/>
        <w:rPr>
          <w:szCs w:val="22"/>
        </w:rPr>
      </w:pPr>
      <w:r w:rsidRPr="00557EA0">
        <w:rPr>
          <w:szCs w:val="22"/>
        </w:rPr>
        <w:t xml:space="preserve">The EPA Building Profile Input Program -Prime (BPIP-Prime) will be used to evaluate structures for building downwash impacts.  All structures </w:t>
      </w:r>
      <w:r w:rsidR="006C70FD" w:rsidRPr="00557EA0">
        <w:rPr>
          <w:szCs w:val="22"/>
        </w:rPr>
        <w:t>close enough (</w:t>
      </w:r>
      <w:r w:rsidRPr="00557EA0">
        <w:rPr>
          <w:szCs w:val="22"/>
        </w:rPr>
        <w:t>of sufficient height and/or width</w:t>
      </w:r>
      <w:r w:rsidR="006C70FD" w:rsidRPr="00557EA0">
        <w:rPr>
          <w:szCs w:val="22"/>
        </w:rPr>
        <w:t>)</w:t>
      </w:r>
      <w:r w:rsidRPr="00557EA0">
        <w:rPr>
          <w:szCs w:val="22"/>
        </w:rPr>
        <w:t xml:space="preserve"> to produce downwash effects </w:t>
      </w:r>
      <w:r w:rsidR="00F256E6" w:rsidRPr="00557EA0">
        <w:rPr>
          <w:szCs w:val="22"/>
        </w:rPr>
        <w:t>from</w:t>
      </w:r>
      <w:r w:rsidRPr="00557EA0">
        <w:rPr>
          <w:szCs w:val="22"/>
        </w:rPr>
        <w:t xml:space="preserve"> the stacks will be included in the evaluation.</w:t>
      </w:r>
    </w:p>
    <w:p w:rsidR="00D276C4" w:rsidRPr="00557EA0" w:rsidRDefault="00D276C4">
      <w:pPr>
        <w:keepNext/>
        <w:spacing w:before="120" w:after="120"/>
        <w:rPr>
          <w:b/>
          <w:sz w:val="22"/>
          <w:szCs w:val="22"/>
        </w:rPr>
      </w:pPr>
      <w:r w:rsidRPr="00557EA0">
        <w:rPr>
          <w:b/>
          <w:sz w:val="22"/>
          <w:szCs w:val="22"/>
        </w:rPr>
        <w:t>Receptor Selection</w:t>
      </w:r>
    </w:p>
    <w:p w:rsidR="00D276C4" w:rsidRPr="00557EA0" w:rsidRDefault="00D276C4">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after="120"/>
        <w:rPr>
          <w:szCs w:val="22"/>
        </w:rPr>
      </w:pPr>
      <w:r w:rsidRPr="00557EA0">
        <w:rPr>
          <w:szCs w:val="22"/>
        </w:rPr>
        <w:t>A Cartesian grid with variable receptor spacing will be used to evaluate significant impacts around the facility.  The grid will contain receptors with 50-meter spacing around the fence</w:t>
      </w:r>
      <w:r w:rsidR="00871E7D" w:rsidRPr="00557EA0">
        <w:rPr>
          <w:szCs w:val="22"/>
        </w:rPr>
        <w:t xml:space="preserve"> </w:t>
      </w:r>
      <w:r w:rsidRPr="00557EA0">
        <w:rPr>
          <w:szCs w:val="22"/>
        </w:rPr>
        <w:t>line and from the fence</w:t>
      </w:r>
      <w:r w:rsidR="00871E7D" w:rsidRPr="00557EA0">
        <w:rPr>
          <w:szCs w:val="22"/>
        </w:rPr>
        <w:t xml:space="preserve"> </w:t>
      </w:r>
      <w:r w:rsidRPr="00557EA0">
        <w:rPr>
          <w:szCs w:val="22"/>
        </w:rPr>
        <w:t>line out to at least 500 meters, 100-meter spacing from the 500 meters beyond the fence</w:t>
      </w:r>
      <w:r w:rsidR="00272810" w:rsidRPr="00557EA0">
        <w:rPr>
          <w:szCs w:val="22"/>
        </w:rPr>
        <w:t xml:space="preserve"> </w:t>
      </w:r>
      <w:r w:rsidRPr="00557EA0">
        <w:rPr>
          <w:szCs w:val="22"/>
        </w:rPr>
        <w:t>line out to at least 1,000 meters, and 500-meter spacing from 1,000 meters beyond the fence</w:t>
      </w:r>
      <w:r w:rsidR="00272810" w:rsidRPr="00557EA0">
        <w:rPr>
          <w:szCs w:val="22"/>
        </w:rPr>
        <w:t xml:space="preserve"> </w:t>
      </w:r>
      <w:r w:rsidRPr="00557EA0">
        <w:rPr>
          <w:szCs w:val="22"/>
        </w:rPr>
        <w:t>line out to at least 5,000 meters.  If significant impact areas extend beyond 5,000 meters from the fence</w:t>
      </w:r>
      <w:r w:rsidR="00272810" w:rsidRPr="00557EA0">
        <w:rPr>
          <w:szCs w:val="22"/>
        </w:rPr>
        <w:t xml:space="preserve"> </w:t>
      </w:r>
      <w:r w:rsidRPr="00557EA0">
        <w:rPr>
          <w:szCs w:val="22"/>
        </w:rPr>
        <w:t>line, the grid will also include receptors with 1,000-meter spacing sufficient to cover the entire significant impact area.</w:t>
      </w:r>
    </w:p>
    <w:p w:rsidR="00D276C4" w:rsidRPr="00557EA0" w:rsidRDefault="00424E2C">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after="120"/>
        <w:rPr>
          <w:szCs w:val="22"/>
        </w:rPr>
      </w:pPr>
      <w:r w:rsidRPr="00557EA0">
        <w:rPr>
          <w:szCs w:val="22"/>
        </w:rPr>
        <w:t xml:space="preserve">Cumulative impact modeling will be conducted using only those receptors from the grid defined in the paragraph above for which there were significant impacts.  </w:t>
      </w:r>
      <w:r w:rsidR="00D276C4" w:rsidRPr="00557EA0">
        <w:rPr>
          <w:szCs w:val="22"/>
        </w:rPr>
        <w:t>If maximum cumulative impacts greater than or equal to 75 percent of the applicable standard are calculated at receptors located in the 100-meter, 500-meter or 1,000-meter interval portions of the grid, then refined grids with 50-meter spacing will be centered on these receptors to identify the local high.  These refined grids will be large enough to include adjacent receptors in all directions (200 meters square in the 100-meter interval portion of the grid, 1,000 meters square in the 500-meter interval portion of the grid and 2,000 meters square in the 1,000-meter interval portion of the grid).</w:t>
      </w:r>
    </w:p>
    <w:p w:rsidR="00D276C4" w:rsidRPr="00557EA0" w:rsidRDefault="00665B1A">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after="120"/>
        <w:rPr>
          <w:szCs w:val="22"/>
        </w:rPr>
      </w:pPr>
      <w:r w:rsidRPr="00557EA0">
        <w:rPr>
          <w:szCs w:val="22"/>
        </w:rPr>
        <w:t xml:space="preserve">The coordinate system used to reference </w:t>
      </w:r>
      <w:r w:rsidR="00424E2C" w:rsidRPr="00557EA0">
        <w:rPr>
          <w:szCs w:val="22"/>
        </w:rPr>
        <w:t>receptor</w:t>
      </w:r>
      <w:r w:rsidRPr="00557EA0">
        <w:rPr>
          <w:szCs w:val="22"/>
        </w:rPr>
        <w:t xml:space="preserve"> locations will be of the UTM convention (NAD83).  Terrain elevation data will be obtained from NED data (1/3 second) taken from the USGS website. </w:t>
      </w:r>
      <w:r w:rsidR="00D276C4" w:rsidRPr="00557EA0">
        <w:rPr>
          <w:szCs w:val="22"/>
        </w:rPr>
        <w:t>The AERMOD Terrain Preprocessor (AERMAP) will be used to calculate the receptor elevations and terrain maximums.</w:t>
      </w:r>
      <w:r w:rsidRPr="00557EA0">
        <w:rPr>
          <w:szCs w:val="22"/>
        </w:rPr>
        <w:t xml:space="preserve">  The domain used to calculate terrain maximums will be sufficient to identify all terrain nodes that create a slope greater than or equal to 10 percent.</w:t>
      </w:r>
    </w:p>
    <w:p w:rsidR="00D276C4" w:rsidRPr="00557EA0" w:rsidRDefault="00D276C4">
      <w:pPr>
        <w:keepNext/>
        <w:spacing w:before="120" w:after="120"/>
        <w:rPr>
          <w:sz w:val="22"/>
          <w:szCs w:val="22"/>
        </w:rPr>
      </w:pPr>
      <w:r w:rsidRPr="00557EA0">
        <w:rPr>
          <w:b/>
          <w:sz w:val="22"/>
          <w:szCs w:val="22"/>
        </w:rPr>
        <w:t>Meteorological Data</w:t>
      </w:r>
    </w:p>
    <w:p w:rsidR="00CF140D" w:rsidRPr="00557EA0" w:rsidRDefault="00CF140D" w:rsidP="00CF140D">
      <w:pPr>
        <w:spacing w:before="120" w:after="120"/>
        <w:rPr>
          <w:sz w:val="22"/>
          <w:szCs w:val="22"/>
        </w:rPr>
      </w:pPr>
      <w:r w:rsidRPr="00557EA0">
        <w:rPr>
          <w:sz w:val="22"/>
          <w:szCs w:val="22"/>
        </w:rPr>
        <w:t>Modeling will be conducted using Val Verde meteorological data collected during 1993.  The data will be obtained from the NMAQB web site.  The profile base elevation will be set at 1,705 meters above mean sea level.</w:t>
      </w:r>
    </w:p>
    <w:p w:rsidR="00524DBC" w:rsidRPr="00557EA0" w:rsidRDefault="000F1EED" w:rsidP="00CF140D">
      <w:pPr>
        <w:spacing w:before="120" w:after="120"/>
        <w:rPr>
          <w:sz w:val="22"/>
          <w:szCs w:val="22"/>
        </w:rPr>
      </w:pPr>
      <w:r w:rsidRPr="00557EA0">
        <w:rPr>
          <w:sz w:val="22"/>
          <w:szCs w:val="22"/>
        </w:rPr>
        <w:t xml:space="preserve">The San Juan River Valley is the most prominent terrain feature near the </w:t>
      </w:r>
      <w:proofErr w:type="spellStart"/>
      <w:r w:rsidRPr="00557EA0">
        <w:rPr>
          <w:sz w:val="22"/>
          <w:szCs w:val="22"/>
        </w:rPr>
        <w:t>Kutz</w:t>
      </w:r>
      <w:proofErr w:type="spellEnd"/>
      <w:r w:rsidRPr="00557EA0">
        <w:rPr>
          <w:sz w:val="22"/>
          <w:szCs w:val="22"/>
        </w:rPr>
        <w:t xml:space="preserve"> Canyon Processing Plant.</w:t>
      </w:r>
      <w:r w:rsidR="00524DBC" w:rsidRPr="00557EA0">
        <w:rPr>
          <w:sz w:val="22"/>
          <w:szCs w:val="22"/>
        </w:rPr>
        <w:t xml:space="preserve">  The </w:t>
      </w:r>
      <w:r w:rsidRPr="00557EA0">
        <w:rPr>
          <w:sz w:val="22"/>
          <w:szCs w:val="22"/>
        </w:rPr>
        <w:t>p</w:t>
      </w:r>
      <w:r w:rsidR="00524DBC" w:rsidRPr="00557EA0">
        <w:rPr>
          <w:sz w:val="22"/>
          <w:szCs w:val="22"/>
        </w:rPr>
        <w:t xml:space="preserve">lant is located </w:t>
      </w:r>
      <w:r w:rsidRPr="00557EA0">
        <w:rPr>
          <w:sz w:val="22"/>
          <w:szCs w:val="22"/>
        </w:rPr>
        <w:t>on the south slope of the</w:t>
      </w:r>
      <w:r w:rsidR="00524DBC" w:rsidRPr="00557EA0">
        <w:rPr>
          <w:sz w:val="22"/>
          <w:szCs w:val="22"/>
        </w:rPr>
        <w:t xml:space="preserve"> </w:t>
      </w:r>
      <w:r w:rsidRPr="00557EA0">
        <w:rPr>
          <w:sz w:val="22"/>
          <w:szCs w:val="22"/>
        </w:rPr>
        <w:t>valley, approximately 2.5 miles from the river.  The general flow of th</w:t>
      </w:r>
      <w:r w:rsidR="007F05FF" w:rsidRPr="00557EA0">
        <w:rPr>
          <w:sz w:val="22"/>
          <w:szCs w:val="22"/>
        </w:rPr>
        <w:t>e</w:t>
      </w:r>
      <w:r w:rsidRPr="00557EA0">
        <w:rPr>
          <w:sz w:val="22"/>
          <w:szCs w:val="22"/>
        </w:rPr>
        <w:t xml:space="preserve"> valley is from east to west.  The </w:t>
      </w:r>
      <w:r w:rsidR="007F05FF" w:rsidRPr="00557EA0">
        <w:rPr>
          <w:sz w:val="22"/>
          <w:szCs w:val="22"/>
        </w:rPr>
        <w:t>p</w:t>
      </w:r>
      <w:r w:rsidRPr="00557EA0">
        <w:rPr>
          <w:sz w:val="22"/>
          <w:szCs w:val="22"/>
        </w:rPr>
        <w:t xml:space="preserve">lant </w:t>
      </w:r>
      <w:r w:rsidR="007F05FF" w:rsidRPr="00557EA0">
        <w:rPr>
          <w:sz w:val="22"/>
          <w:szCs w:val="22"/>
        </w:rPr>
        <w:t xml:space="preserve">also </w:t>
      </w:r>
      <w:r w:rsidRPr="00557EA0">
        <w:rPr>
          <w:sz w:val="22"/>
          <w:szCs w:val="22"/>
        </w:rPr>
        <w:t xml:space="preserve">sits on top of the eastern slope of </w:t>
      </w:r>
      <w:proofErr w:type="spellStart"/>
      <w:r w:rsidRPr="00557EA0">
        <w:rPr>
          <w:sz w:val="22"/>
          <w:szCs w:val="22"/>
        </w:rPr>
        <w:t>Kutz</w:t>
      </w:r>
      <w:proofErr w:type="spellEnd"/>
      <w:r w:rsidRPr="00557EA0">
        <w:rPr>
          <w:sz w:val="22"/>
          <w:szCs w:val="22"/>
        </w:rPr>
        <w:t xml:space="preserve"> Canyon.  Near the plant, the canyon is well over a mile wide and about 300 feet deep.</w:t>
      </w:r>
      <w:r w:rsidR="007F05FF" w:rsidRPr="00557EA0">
        <w:rPr>
          <w:sz w:val="22"/>
          <w:szCs w:val="22"/>
        </w:rPr>
        <w:t xml:space="preserve">  The general flow of the canyon is from the south southeast to the north northwest.</w:t>
      </w:r>
    </w:p>
    <w:p w:rsidR="00CF140D" w:rsidRPr="00557EA0" w:rsidRDefault="00CF140D" w:rsidP="00CF140D">
      <w:pPr>
        <w:spacing w:before="120" w:after="120"/>
        <w:rPr>
          <w:sz w:val="22"/>
          <w:szCs w:val="22"/>
        </w:rPr>
      </w:pPr>
      <w:r w:rsidRPr="00557EA0">
        <w:rPr>
          <w:sz w:val="22"/>
          <w:szCs w:val="22"/>
        </w:rPr>
        <w:t>Four meteorological data sets were considered for use with the modeling analysis: Val Verde data, San Juan Generating Station data, Bloomfield data, and Farmington data.  The criteria used to select the appropriate meteorological data set are as follows:</w:t>
      </w:r>
    </w:p>
    <w:p w:rsidR="00CF140D" w:rsidRPr="00557EA0" w:rsidRDefault="00CF140D" w:rsidP="00CF140D">
      <w:pPr>
        <w:numPr>
          <w:ilvl w:val="0"/>
          <w:numId w:val="13"/>
        </w:numPr>
        <w:spacing w:before="120" w:after="120"/>
        <w:rPr>
          <w:sz w:val="22"/>
          <w:szCs w:val="22"/>
        </w:rPr>
      </w:pPr>
      <w:r w:rsidRPr="00557EA0">
        <w:rPr>
          <w:sz w:val="22"/>
          <w:szCs w:val="22"/>
        </w:rPr>
        <w:lastRenderedPageBreak/>
        <w:t xml:space="preserve">A wind rose plot of the 1993 Val Verde meteorological data shows predominant flows from the west, north, east northeast, and east.  </w:t>
      </w:r>
      <w:r w:rsidR="00727634" w:rsidRPr="00557EA0">
        <w:rPr>
          <w:sz w:val="22"/>
          <w:szCs w:val="22"/>
        </w:rPr>
        <w:t>Collected near the plant, t</w:t>
      </w:r>
      <w:r w:rsidRPr="00557EA0">
        <w:rPr>
          <w:sz w:val="22"/>
          <w:szCs w:val="22"/>
        </w:rPr>
        <w:t xml:space="preserve">he strong west, north and east flows </w:t>
      </w:r>
      <w:r w:rsidR="00727634" w:rsidRPr="00557EA0">
        <w:rPr>
          <w:sz w:val="22"/>
          <w:szCs w:val="22"/>
        </w:rPr>
        <w:t>seem to best represent</w:t>
      </w:r>
      <w:r w:rsidRPr="00557EA0">
        <w:rPr>
          <w:sz w:val="22"/>
          <w:szCs w:val="22"/>
        </w:rPr>
        <w:t xml:space="preserve"> the terrain surrounding the plant.</w:t>
      </w:r>
    </w:p>
    <w:p w:rsidR="00CF140D" w:rsidRPr="00557EA0" w:rsidRDefault="00CF140D" w:rsidP="00CF140D">
      <w:pPr>
        <w:numPr>
          <w:ilvl w:val="0"/>
          <w:numId w:val="13"/>
        </w:numPr>
        <w:spacing w:before="120" w:after="120"/>
        <w:rPr>
          <w:sz w:val="22"/>
          <w:szCs w:val="22"/>
        </w:rPr>
      </w:pPr>
      <w:r w:rsidRPr="00557EA0">
        <w:rPr>
          <w:sz w:val="22"/>
          <w:szCs w:val="22"/>
        </w:rPr>
        <w:t xml:space="preserve">A wind rose plot of the 1997 Bloomfield meteorological data shows predominant flows from the north, north northeast, west, and west northwest.  </w:t>
      </w:r>
      <w:r w:rsidR="00727634" w:rsidRPr="00557EA0">
        <w:rPr>
          <w:sz w:val="22"/>
          <w:szCs w:val="22"/>
        </w:rPr>
        <w:t>Though</w:t>
      </w:r>
      <w:r w:rsidR="007F05FF" w:rsidRPr="00557EA0">
        <w:rPr>
          <w:sz w:val="22"/>
          <w:szCs w:val="22"/>
        </w:rPr>
        <w:t xml:space="preserve"> collected near the plant, the north flow seems exaggerated, while the east flow</w:t>
      </w:r>
      <w:r w:rsidR="00CC6FAE" w:rsidRPr="00557EA0">
        <w:rPr>
          <w:sz w:val="22"/>
          <w:szCs w:val="22"/>
        </w:rPr>
        <w:t>s</w:t>
      </w:r>
      <w:r w:rsidR="007F05FF" w:rsidRPr="00557EA0">
        <w:rPr>
          <w:sz w:val="22"/>
          <w:szCs w:val="22"/>
        </w:rPr>
        <w:t xml:space="preserve"> seem less than one would expect.</w:t>
      </w:r>
    </w:p>
    <w:p w:rsidR="00CF140D" w:rsidRPr="00557EA0" w:rsidRDefault="00CF140D" w:rsidP="00CF140D">
      <w:pPr>
        <w:numPr>
          <w:ilvl w:val="0"/>
          <w:numId w:val="13"/>
        </w:numPr>
        <w:spacing w:before="120" w:after="120"/>
        <w:rPr>
          <w:sz w:val="22"/>
          <w:szCs w:val="22"/>
        </w:rPr>
      </w:pPr>
      <w:r w:rsidRPr="00557EA0">
        <w:rPr>
          <w:sz w:val="22"/>
          <w:szCs w:val="22"/>
        </w:rPr>
        <w:t xml:space="preserve">A wind rose plot of the 1993-1994 San Juan Generating Station meteorological data shows predominant flows from the west northwest and southeast.  </w:t>
      </w:r>
      <w:r w:rsidR="007F05FF" w:rsidRPr="00557EA0">
        <w:rPr>
          <w:sz w:val="22"/>
          <w:szCs w:val="22"/>
        </w:rPr>
        <w:t>It is lacking the strong east and west flows one would associate with the San Juan River Valley</w:t>
      </w:r>
      <w:r w:rsidRPr="00557EA0">
        <w:rPr>
          <w:sz w:val="22"/>
          <w:szCs w:val="22"/>
        </w:rPr>
        <w:t>.</w:t>
      </w:r>
    </w:p>
    <w:p w:rsidR="00CF140D" w:rsidRPr="00557EA0" w:rsidRDefault="00CF140D" w:rsidP="00CF140D">
      <w:pPr>
        <w:numPr>
          <w:ilvl w:val="0"/>
          <w:numId w:val="13"/>
        </w:numPr>
        <w:spacing w:before="120" w:after="120"/>
        <w:rPr>
          <w:sz w:val="22"/>
          <w:szCs w:val="22"/>
        </w:rPr>
      </w:pPr>
      <w:r w:rsidRPr="00557EA0">
        <w:rPr>
          <w:sz w:val="22"/>
          <w:szCs w:val="22"/>
        </w:rPr>
        <w:t xml:space="preserve">Wind rose plots of the 2006-2010 Farmington meteorological data show predominant flows from the west and east.  </w:t>
      </w:r>
      <w:r w:rsidR="00727634" w:rsidRPr="00557EA0">
        <w:rPr>
          <w:sz w:val="22"/>
          <w:szCs w:val="22"/>
        </w:rPr>
        <w:t>T</w:t>
      </w:r>
      <w:r w:rsidRPr="00557EA0">
        <w:rPr>
          <w:sz w:val="22"/>
          <w:szCs w:val="22"/>
        </w:rPr>
        <w:t xml:space="preserve">he Farmington data is collected at the airport which sits on top of a small mesa.  There is little obstruction to the air flow for several miles in all directions around airport.  This is </w:t>
      </w:r>
      <w:r w:rsidR="0093481F" w:rsidRPr="00557EA0">
        <w:rPr>
          <w:sz w:val="22"/>
          <w:szCs w:val="22"/>
        </w:rPr>
        <w:t xml:space="preserve">similar to the area around the </w:t>
      </w:r>
      <w:proofErr w:type="spellStart"/>
      <w:r w:rsidR="0093481F" w:rsidRPr="00557EA0">
        <w:rPr>
          <w:sz w:val="22"/>
          <w:szCs w:val="22"/>
        </w:rPr>
        <w:t>Kutz</w:t>
      </w:r>
      <w:proofErr w:type="spellEnd"/>
      <w:r w:rsidR="0093481F" w:rsidRPr="00557EA0">
        <w:rPr>
          <w:sz w:val="22"/>
          <w:szCs w:val="22"/>
        </w:rPr>
        <w:t xml:space="preserve"> Canyon Processing Plant, however, the Farmington </w:t>
      </w:r>
      <w:r w:rsidR="00D52A72" w:rsidRPr="00557EA0">
        <w:rPr>
          <w:sz w:val="22"/>
          <w:szCs w:val="22"/>
        </w:rPr>
        <w:t>data lacks the northerly flow one would expect from the Bloomfield area.</w:t>
      </w:r>
    </w:p>
    <w:p w:rsidR="00424E2C" w:rsidRPr="00557EA0" w:rsidRDefault="00424E2C" w:rsidP="00424E2C">
      <w:pPr>
        <w:pStyle w:val="Heading5"/>
        <w:widowControl/>
        <w:tabs>
          <w:tab w:val="clear" w:pos="-1440"/>
          <w:tab w:val="clear" w:pos="-720"/>
        </w:tabs>
        <w:spacing w:before="120" w:after="120"/>
        <w:rPr>
          <w:bCs/>
          <w:sz w:val="22"/>
          <w:szCs w:val="22"/>
        </w:rPr>
      </w:pPr>
      <w:r w:rsidRPr="00557EA0">
        <w:rPr>
          <w:bCs/>
          <w:sz w:val="22"/>
          <w:szCs w:val="22"/>
        </w:rPr>
        <w:t>Neighboring Sources</w:t>
      </w:r>
    </w:p>
    <w:p w:rsidR="00424E2C" w:rsidRPr="00557EA0" w:rsidRDefault="00424E2C" w:rsidP="00424E2C">
      <w:pPr>
        <w:suppressAutoHyphens/>
        <w:spacing w:before="120" w:after="120"/>
        <w:rPr>
          <w:sz w:val="22"/>
          <w:szCs w:val="22"/>
        </w:rPr>
      </w:pPr>
      <w:r w:rsidRPr="00557EA0">
        <w:rPr>
          <w:sz w:val="22"/>
          <w:szCs w:val="22"/>
        </w:rPr>
        <w:t>Cumulative impacts to demonstrate compliance with the NO</w:t>
      </w:r>
      <w:r w:rsidRPr="00557EA0">
        <w:rPr>
          <w:sz w:val="22"/>
          <w:szCs w:val="22"/>
          <w:vertAlign w:val="subscript"/>
        </w:rPr>
        <w:t>2</w:t>
      </w:r>
      <w:r w:rsidRPr="00557EA0">
        <w:rPr>
          <w:sz w:val="22"/>
          <w:szCs w:val="22"/>
        </w:rPr>
        <w:t xml:space="preserve"> and SO</w:t>
      </w:r>
      <w:r w:rsidRPr="00557EA0">
        <w:rPr>
          <w:sz w:val="22"/>
          <w:szCs w:val="22"/>
          <w:vertAlign w:val="subscript"/>
        </w:rPr>
        <w:t>2</w:t>
      </w:r>
      <w:r w:rsidRPr="00557EA0">
        <w:rPr>
          <w:sz w:val="22"/>
          <w:szCs w:val="22"/>
        </w:rPr>
        <w:t xml:space="preserve"> NAAQS may be calculated as </w:t>
      </w:r>
      <w:r w:rsidRPr="00557EA0">
        <w:rPr>
          <w:spacing w:val="-3"/>
          <w:sz w:val="22"/>
          <w:szCs w:val="22"/>
        </w:rPr>
        <w:t xml:space="preserve">facility impacts plus background concentrations or may be calculated as facility impacts plus neighboring source impacts.  Therefore, </w:t>
      </w:r>
      <w:r w:rsidRPr="00557EA0">
        <w:rPr>
          <w:sz w:val="22"/>
          <w:szCs w:val="22"/>
        </w:rPr>
        <w:t>neighboring sources may be used to evaluate compliance.  For NO</w:t>
      </w:r>
      <w:r w:rsidRPr="00557EA0">
        <w:rPr>
          <w:sz w:val="22"/>
          <w:szCs w:val="22"/>
          <w:vertAlign w:val="subscript"/>
        </w:rPr>
        <w:t>2</w:t>
      </w:r>
      <w:r w:rsidRPr="00557EA0">
        <w:rPr>
          <w:sz w:val="22"/>
          <w:szCs w:val="22"/>
        </w:rPr>
        <w:t xml:space="preserve"> and SO</w:t>
      </w:r>
      <w:r w:rsidRPr="00557EA0">
        <w:rPr>
          <w:sz w:val="22"/>
          <w:szCs w:val="22"/>
          <w:vertAlign w:val="subscript"/>
        </w:rPr>
        <w:t>2</w:t>
      </w:r>
      <w:r w:rsidRPr="00557EA0">
        <w:rPr>
          <w:sz w:val="22"/>
          <w:szCs w:val="22"/>
        </w:rPr>
        <w:t xml:space="preserve"> NAAQS modeling, neighboring sources include all </w:t>
      </w:r>
      <w:r w:rsidRPr="00557EA0">
        <w:rPr>
          <w:spacing w:val="-3"/>
          <w:sz w:val="22"/>
          <w:szCs w:val="22"/>
        </w:rPr>
        <w:t>sources within 25 kilometers of the facility and all sources between 25 and 50 kilometers from the facility that are permitted to emit 1,000 pounds per hour or more</w:t>
      </w:r>
      <w:r w:rsidRPr="00557EA0">
        <w:rPr>
          <w:sz w:val="22"/>
          <w:szCs w:val="22"/>
        </w:rPr>
        <w:t>.</w:t>
      </w:r>
    </w:p>
    <w:p w:rsidR="00424E2C" w:rsidRPr="00557EA0" w:rsidRDefault="00424E2C" w:rsidP="00424E2C">
      <w:pPr>
        <w:suppressAutoHyphens/>
        <w:spacing w:before="120" w:after="120"/>
        <w:rPr>
          <w:iCs/>
          <w:spacing w:val="-3"/>
          <w:sz w:val="22"/>
          <w:szCs w:val="22"/>
        </w:rPr>
      </w:pPr>
      <w:r w:rsidRPr="00557EA0">
        <w:rPr>
          <w:sz w:val="22"/>
          <w:szCs w:val="22"/>
        </w:rPr>
        <w:t xml:space="preserve">Where used, neighboring sources will be obtained from the </w:t>
      </w:r>
      <w:r w:rsidR="00160516" w:rsidRPr="00557EA0">
        <w:rPr>
          <w:sz w:val="22"/>
          <w:szCs w:val="22"/>
        </w:rPr>
        <w:t>NMAQB</w:t>
      </w:r>
      <w:r w:rsidR="00650E05" w:rsidRPr="00557EA0">
        <w:rPr>
          <w:iCs/>
          <w:spacing w:val="-3"/>
          <w:sz w:val="22"/>
          <w:szCs w:val="22"/>
        </w:rPr>
        <w:t>.</w:t>
      </w:r>
    </w:p>
    <w:p w:rsidR="00650E05" w:rsidRPr="00557EA0" w:rsidRDefault="00650E05" w:rsidP="00650E05">
      <w:pPr>
        <w:pStyle w:val="Heading5"/>
        <w:widowControl/>
        <w:tabs>
          <w:tab w:val="clear" w:pos="-1440"/>
          <w:tab w:val="clear" w:pos="-720"/>
        </w:tabs>
        <w:spacing w:before="120" w:after="120"/>
        <w:rPr>
          <w:bCs/>
          <w:sz w:val="22"/>
          <w:szCs w:val="22"/>
        </w:rPr>
      </w:pPr>
      <w:r w:rsidRPr="00557EA0">
        <w:rPr>
          <w:bCs/>
          <w:sz w:val="22"/>
          <w:szCs w:val="22"/>
        </w:rPr>
        <w:t>Background Concentrations</w:t>
      </w:r>
    </w:p>
    <w:p w:rsidR="00650E05" w:rsidRPr="00557EA0" w:rsidRDefault="00650E05" w:rsidP="00650E05">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before="120" w:after="120"/>
        <w:rPr>
          <w:spacing w:val="-3"/>
          <w:szCs w:val="22"/>
        </w:rPr>
      </w:pPr>
      <w:r w:rsidRPr="00557EA0">
        <w:rPr>
          <w:spacing w:val="-3"/>
          <w:szCs w:val="22"/>
        </w:rPr>
        <w:t>Where</w:t>
      </w:r>
      <w:r w:rsidRPr="00557EA0">
        <w:rPr>
          <w:szCs w:val="22"/>
        </w:rPr>
        <w:t xml:space="preserve"> </w:t>
      </w:r>
      <w:r w:rsidRPr="00557EA0">
        <w:rPr>
          <w:spacing w:val="-3"/>
          <w:szCs w:val="22"/>
        </w:rPr>
        <w:t xml:space="preserve">impacts exceed the SIL, cumulative impacts for comparison with the NAAQS may be calculated as station impacts plus background concentrations as identified in the </w:t>
      </w:r>
      <w:r w:rsidR="00557EA0" w:rsidRPr="00557EA0">
        <w:rPr>
          <w:spacing w:val="-3"/>
          <w:szCs w:val="22"/>
        </w:rPr>
        <w:t xml:space="preserve">NMAQB </w:t>
      </w:r>
      <w:r w:rsidR="00670914" w:rsidRPr="00557EA0">
        <w:rPr>
          <w:spacing w:val="-3"/>
          <w:szCs w:val="22"/>
        </w:rPr>
        <w:t>m</w:t>
      </w:r>
      <w:r w:rsidRPr="00557EA0">
        <w:rPr>
          <w:spacing w:val="-3"/>
          <w:szCs w:val="22"/>
        </w:rPr>
        <w:t xml:space="preserve">odeling </w:t>
      </w:r>
      <w:r w:rsidR="00670914" w:rsidRPr="00557EA0">
        <w:rPr>
          <w:spacing w:val="-3"/>
          <w:szCs w:val="22"/>
        </w:rPr>
        <w:t>g</w:t>
      </w:r>
      <w:r w:rsidRPr="00557EA0">
        <w:rPr>
          <w:spacing w:val="-3"/>
          <w:szCs w:val="22"/>
        </w:rPr>
        <w:t xml:space="preserve">uidelines.  If this method is utilized, background concentrations will be obtained from </w:t>
      </w:r>
      <w:r w:rsidR="00BD5E64" w:rsidRPr="00557EA0">
        <w:rPr>
          <w:spacing w:val="-3"/>
          <w:szCs w:val="22"/>
        </w:rPr>
        <w:t xml:space="preserve">the </w:t>
      </w:r>
      <w:r w:rsidR="004F6283" w:rsidRPr="00557EA0">
        <w:rPr>
          <w:spacing w:val="-3"/>
          <w:szCs w:val="22"/>
        </w:rPr>
        <w:t>m</w:t>
      </w:r>
      <w:r w:rsidRPr="00557EA0">
        <w:rPr>
          <w:spacing w:val="-3"/>
          <w:szCs w:val="22"/>
        </w:rPr>
        <w:t xml:space="preserve">odeling </w:t>
      </w:r>
      <w:r w:rsidR="004F6283" w:rsidRPr="00557EA0">
        <w:rPr>
          <w:spacing w:val="-3"/>
          <w:szCs w:val="22"/>
        </w:rPr>
        <w:t>g</w:t>
      </w:r>
      <w:r w:rsidRPr="00557EA0">
        <w:rPr>
          <w:spacing w:val="-3"/>
          <w:szCs w:val="22"/>
        </w:rPr>
        <w:t>uidelines</w:t>
      </w:r>
      <w:r w:rsidRPr="00557EA0">
        <w:rPr>
          <w:iCs/>
          <w:spacing w:val="-3"/>
          <w:szCs w:val="22"/>
        </w:rPr>
        <w:t xml:space="preserve">.  </w:t>
      </w:r>
      <w:r w:rsidRPr="00557EA0">
        <w:rPr>
          <w:spacing w:val="-3"/>
          <w:szCs w:val="22"/>
        </w:rPr>
        <w:t xml:space="preserve">Table </w:t>
      </w:r>
      <w:r w:rsidR="00503160" w:rsidRPr="00557EA0">
        <w:rPr>
          <w:spacing w:val="-3"/>
          <w:szCs w:val="22"/>
        </w:rPr>
        <w:t>2</w:t>
      </w:r>
      <w:r w:rsidRPr="00557EA0">
        <w:rPr>
          <w:spacing w:val="-3"/>
          <w:szCs w:val="22"/>
        </w:rPr>
        <w:t xml:space="preserve"> below identifies the applicable background concentrations that will be used.</w:t>
      </w:r>
    </w:p>
    <w:p w:rsidR="00650E05" w:rsidRPr="00557EA0" w:rsidRDefault="00650E05" w:rsidP="00650E05">
      <w:pPr>
        <w:pStyle w:val="BodyText"/>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before="120"/>
        <w:jc w:val="center"/>
        <w:rPr>
          <w:b/>
          <w:spacing w:val="-3"/>
          <w:szCs w:val="22"/>
        </w:rPr>
      </w:pPr>
      <w:r w:rsidRPr="00557EA0">
        <w:rPr>
          <w:b/>
          <w:spacing w:val="-3"/>
          <w:szCs w:val="22"/>
        </w:rPr>
        <w:t xml:space="preserve">Table </w:t>
      </w:r>
      <w:r w:rsidR="00160516" w:rsidRPr="00557EA0">
        <w:rPr>
          <w:b/>
          <w:spacing w:val="-3"/>
          <w:szCs w:val="22"/>
        </w:rPr>
        <w:t>2</w:t>
      </w:r>
    </w:p>
    <w:p w:rsidR="00650E05" w:rsidRPr="00557EA0" w:rsidRDefault="00650E05" w:rsidP="00650E05">
      <w:pPr>
        <w:pStyle w:val="BodyText"/>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after="120"/>
        <w:jc w:val="center"/>
        <w:rPr>
          <w:spacing w:val="-3"/>
          <w:szCs w:val="22"/>
        </w:rPr>
      </w:pPr>
      <w:r w:rsidRPr="00557EA0">
        <w:rPr>
          <w:spacing w:val="-3"/>
          <w:szCs w:val="22"/>
        </w:rPr>
        <w:t>Background Concentrations</w:t>
      </w:r>
    </w:p>
    <w:tbl>
      <w:tblPr>
        <w:tblW w:w="923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09"/>
        <w:gridCol w:w="2309"/>
        <w:gridCol w:w="2309"/>
        <w:gridCol w:w="2310"/>
      </w:tblGrid>
      <w:tr w:rsidR="00BE6A7B" w:rsidRPr="00557EA0" w:rsidTr="00BE6A7B">
        <w:tc>
          <w:tcPr>
            <w:tcW w:w="2309" w:type="dxa"/>
          </w:tcPr>
          <w:p w:rsidR="00BE6A7B" w:rsidRPr="00557EA0" w:rsidRDefault="00BE6A7B" w:rsidP="00686A50">
            <w:pPr>
              <w:pStyle w:val="BodyText"/>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jc w:val="center"/>
              <w:rPr>
                <w:spacing w:val="-3"/>
                <w:szCs w:val="22"/>
              </w:rPr>
            </w:pPr>
            <w:r w:rsidRPr="00557EA0">
              <w:rPr>
                <w:spacing w:val="-3"/>
                <w:szCs w:val="22"/>
              </w:rPr>
              <w:t>Pollutant</w:t>
            </w:r>
          </w:p>
        </w:tc>
        <w:tc>
          <w:tcPr>
            <w:tcW w:w="2309" w:type="dxa"/>
          </w:tcPr>
          <w:p w:rsidR="00BE6A7B" w:rsidRPr="00557EA0" w:rsidRDefault="00BE6A7B" w:rsidP="00686A50">
            <w:pPr>
              <w:pStyle w:val="BodyText"/>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jc w:val="center"/>
              <w:rPr>
                <w:spacing w:val="-3"/>
                <w:szCs w:val="22"/>
              </w:rPr>
            </w:pPr>
            <w:r w:rsidRPr="00557EA0">
              <w:rPr>
                <w:spacing w:val="-3"/>
                <w:szCs w:val="22"/>
              </w:rPr>
              <w:t>Averaging Period</w:t>
            </w:r>
          </w:p>
        </w:tc>
        <w:tc>
          <w:tcPr>
            <w:tcW w:w="2309" w:type="dxa"/>
          </w:tcPr>
          <w:p w:rsidR="00BE6A7B" w:rsidRPr="00557EA0" w:rsidRDefault="00BE6A7B" w:rsidP="00686A50">
            <w:pPr>
              <w:pStyle w:val="BodyText"/>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jc w:val="center"/>
              <w:rPr>
                <w:spacing w:val="-3"/>
                <w:szCs w:val="22"/>
              </w:rPr>
            </w:pPr>
            <w:r w:rsidRPr="00557EA0">
              <w:rPr>
                <w:spacing w:val="-3"/>
                <w:szCs w:val="22"/>
              </w:rPr>
              <w:t>Background</w:t>
            </w:r>
          </w:p>
          <w:p w:rsidR="00BE6A7B" w:rsidRPr="00557EA0" w:rsidRDefault="00BE6A7B" w:rsidP="00686A50">
            <w:pPr>
              <w:pStyle w:val="BodyText"/>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jc w:val="center"/>
              <w:rPr>
                <w:spacing w:val="-3"/>
                <w:szCs w:val="22"/>
              </w:rPr>
            </w:pPr>
            <w:r w:rsidRPr="00557EA0">
              <w:rPr>
                <w:szCs w:val="22"/>
              </w:rPr>
              <w:t>(</w:t>
            </w:r>
            <w:r w:rsidRPr="00557EA0">
              <w:rPr>
                <w:szCs w:val="22"/>
              </w:rPr>
              <w:sym w:font="Symbol" w:char="F06D"/>
            </w:r>
            <w:r w:rsidRPr="00557EA0">
              <w:rPr>
                <w:szCs w:val="22"/>
              </w:rPr>
              <w:t>g/m</w:t>
            </w:r>
            <w:r w:rsidRPr="00557EA0">
              <w:rPr>
                <w:szCs w:val="22"/>
                <w:vertAlign w:val="superscript"/>
              </w:rPr>
              <w:t>3</w:t>
            </w:r>
            <w:r w:rsidRPr="00557EA0">
              <w:rPr>
                <w:szCs w:val="22"/>
              </w:rPr>
              <w:t>)</w:t>
            </w:r>
          </w:p>
        </w:tc>
        <w:tc>
          <w:tcPr>
            <w:tcW w:w="2310" w:type="dxa"/>
          </w:tcPr>
          <w:p w:rsidR="00BE6A7B" w:rsidRPr="00557EA0" w:rsidRDefault="00BE6A7B" w:rsidP="00686A50">
            <w:pPr>
              <w:pStyle w:val="BodyText"/>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jc w:val="center"/>
              <w:rPr>
                <w:spacing w:val="-3"/>
                <w:szCs w:val="22"/>
              </w:rPr>
            </w:pPr>
            <w:r w:rsidRPr="00557EA0">
              <w:rPr>
                <w:spacing w:val="-3"/>
                <w:szCs w:val="22"/>
              </w:rPr>
              <w:t>Source ID</w:t>
            </w:r>
          </w:p>
        </w:tc>
      </w:tr>
      <w:tr w:rsidR="00BE6A7B" w:rsidRPr="00557EA0" w:rsidTr="00BE6A7B">
        <w:tc>
          <w:tcPr>
            <w:tcW w:w="2309" w:type="dxa"/>
          </w:tcPr>
          <w:p w:rsidR="00BE6A7B" w:rsidRPr="00557EA0" w:rsidRDefault="00BE6A7B" w:rsidP="00686A50">
            <w:pPr>
              <w:pStyle w:val="BodyText"/>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rPr>
                <w:spacing w:val="-3"/>
                <w:szCs w:val="22"/>
              </w:rPr>
            </w:pPr>
            <w:r w:rsidRPr="00557EA0">
              <w:rPr>
                <w:spacing w:val="-3"/>
                <w:szCs w:val="22"/>
              </w:rPr>
              <w:t>NO</w:t>
            </w:r>
            <w:r w:rsidRPr="00557EA0">
              <w:rPr>
                <w:spacing w:val="-3"/>
                <w:szCs w:val="22"/>
                <w:vertAlign w:val="subscript"/>
              </w:rPr>
              <w:t>2</w:t>
            </w:r>
          </w:p>
        </w:tc>
        <w:tc>
          <w:tcPr>
            <w:tcW w:w="2309" w:type="dxa"/>
          </w:tcPr>
          <w:p w:rsidR="00BE6A7B" w:rsidRPr="00557EA0" w:rsidRDefault="00160516" w:rsidP="00686A50">
            <w:pPr>
              <w:pStyle w:val="BodyText"/>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jc w:val="center"/>
              <w:rPr>
                <w:spacing w:val="-3"/>
                <w:szCs w:val="22"/>
              </w:rPr>
            </w:pPr>
            <w:r w:rsidRPr="00557EA0">
              <w:rPr>
                <w:spacing w:val="-3"/>
                <w:szCs w:val="22"/>
              </w:rPr>
              <w:t>1</w:t>
            </w:r>
            <w:r w:rsidR="00BE6A7B" w:rsidRPr="00557EA0">
              <w:rPr>
                <w:spacing w:val="-3"/>
                <w:szCs w:val="22"/>
              </w:rPr>
              <w:t>-Hour</w:t>
            </w:r>
          </w:p>
        </w:tc>
        <w:tc>
          <w:tcPr>
            <w:tcW w:w="2309" w:type="dxa"/>
          </w:tcPr>
          <w:p w:rsidR="00BE6A7B" w:rsidRPr="00557EA0" w:rsidRDefault="00160516" w:rsidP="00686A50">
            <w:pPr>
              <w:pStyle w:val="BodyText"/>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jc w:val="center"/>
              <w:rPr>
                <w:spacing w:val="-3"/>
                <w:szCs w:val="22"/>
              </w:rPr>
            </w:pPr>
            <w:r w:rsidRPr="00557EA0">
              <w:rPr>
                <w:spacing w:val="-3"/>
                <w:szCs w:val="22"/>
              </w:rPr>
              <w:t>67.693</w:t>
            </w:r>
          </w:p>
        </w:tc>
        <w:tc>
          <w:tcPr>
            <w:tcW w:w="2310" w:type="dxa"/>
          </w:tcPr>
          <w:p w:rsidR="00BE6A7B" w:rsidRPr="00557EA0" w:rsidRDefault="00BE6A7B" w:rsidP="00686A50">
            <w:pPr>
              <w:pStyle w:val="BodyText"/>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jc w:val="center"/>
              <w:rPr>
                <w:spacing w:val="-3"/>
                <w:szCs w:val="22"/>
              </w:rPr>
            </w:pPr>
            <w:r w:rsidRPr="00557EA0">
              <w:rPr>
                <w:spacing w:val="-3"/>
                <w:szCs w:val="22"/>
              </w:rPr>
              <w:t>1ZB</w:t>
            </w:r>
          </w:p>
        </w:tc>
      </w:tr>
      <w:tr w:rsidR="00BE6A7B" w:rsidRPr="00557EA0" w:rsidTr="00BE6A7B">
        <w:tc>
          <w:tcPr>
            <w:tcW w:w="2309" w:type="dxa"/>
          </w:tcPr>
          <w:p w:rsidR="00BE6A7B" w:rsidRPr="00557EA0" w:rsidRDefault="00BE6A7B" w:rsidP="00160516">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rPr>
                <w:spacing w:val="-3"/>
                <w:szCs w:val="22"/>
              </w:rPr>
            </w:pPr>
            <w:r w:rsidRPr="00557EA0">
              <w:rPr>
                <w:spacing w:val="-3"/>
                <w:szCs w:val="22"/>
              </w:rPr>
              <w:t>SO</w:t>
            </w:r>
            <w:r w:rsidRPr="00557EA0">
              <w:rPr>
                <w:spacing w:val="-3"/>
                <w:szCs w:val="22"/>
                <w:vertAlign w:val="subscript"/>
              </w:rPr>
              <w:t>2</w:t>
            </w:r>
          </w:p>
        </w:tc>
        <w:tc>
          <w:tcPr>
            <w:tcW w:w="2309" w:type="dxa"/>
          </w:tcPr>
          <w:p w:rsidR="00BE6A7B" w:rsidRPr="00557EA0" w:rsidRDefault="00BE6A7B" w:rsidP="00650E05">
            <w:pPr>
              <w:pStyle w:val="BodyText"/>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jc w:val="center"/>
              <w:rPr>
                <w:spacing w:val="-3"/>
                <w:szCs w:val="22"/>
              </w:rPr>
            </w:pPr>
            <w:r w:rsidRPr="00557EA0">
              <w:rPr>
                <w:spacing w:val="-3"/>
                <w:szCs w:val="22"/>
              </w:rPr>
              <w:t>Annual</w:t>
            </w:r>
          </w:p>
        </w:tc>
        <w:tc>
          <w:tcPr>
            <w:tcW w:w="2309" w:type="dxa"/>
          </w:tcPr>
          <w:p w:rsidR="00BE6A7B" w:rsidRPr="00557EA0" w:rsidRDefault="00160516" w:rsidP="00686A50">
            <w:pPr>
              <w:pStyle w:val="BodyText"/>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jc w:val="center"/>
              <w:rPr>
                <w:spacing w:val="-3"/>
                <w:szCs w:val="22"/>
              </w:rPr>
            </w:pPr>
            <w:r w:rsidRPr="00557EA0">
              <w:rPr>
                <w:spacing w:val="-3"/>
                <w:szCs w:val="22"/>
              </w:rPr>
              <w:t>13.9656</w:t>
            </w:r>
          </w:p>
        </w:tc>
        <w:tc>
          <w:tcPr>
            <w:tcW w:w="2310" w:type="dxa"/>
          </w:tcPr>
          <w:p w:rsidR="00BE6A7B" w:rsidRPr="00557EA0" w:rsidRDefault="00BE6A7B" w:rsidP="00686A50">
            <w:pPr>
              <w:pStyle w:val="BodyText"/>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jc w:val="center"/>
              <w:rPr>
                <w:spacing w:val="-3"/>
                <w:szCs w:val="22"/>
              </w:rPr>
            </w:pPr>
            <w:r w:rsidRPr="00557EA0">
              <w:rPr>
                <w:spacing w:val="-3"/>
                <w:szCs w:val="22"/>
              </w:rPr>
              <w:t>1ZB</w:t>
            </w:r>
          </w:p>
        </w:tc>
      </w:tr>
    </w:tbl>
    <w:p w:rsidR="00650E05" w:rsidRPr="00557EA0" w:rsidRDefault="00650E05" w:rsidP="00160516">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before="240" w:after="120"/>
        <w:rPr>
          <w:spacing w:val="-3"/>
          <w:szCs w:val="22"/>
        </w:rPr>
      </w:pPr>
      <w:r w:rsidRPr="00557EA0">
        <w:rPr>
          <w:szCs w:val="22"/>
        </w:rPr>
        <w:t>The NO</w:t>
      </w:r>
      <w:r w:rsidRPr="00557EA0">
        <w:rPr>
          <w:szCs w:val="22"/>
          <w:vertAlign w:val="subscript"/>
        </w:rPr>
        <w:t>2</w:t>
      </w:r>
      <w:r w:rsidRPr="00557EA0">
        <w:rPr>
          <w:szCs w:val="22"/>
        </w:rPr>
        <w:t xml:space="preserve"> data is obtained from Table 17 of the </w:t>
      </w:r>
      <w:r w:rsidRPr="00557EA0">
        <w:rPr>
          <w:iCs/>
          <w:spacing w:val="-3"/>
          <w:szCs w:val="22"/>
        </w:rPr>
        <w:t xml:space="preserve">NMAQB </w:t>
      </w:r>
      <w:r w:rsidR="004F6283" w:rsidRPr="00557EA0">
        <w:rPr>
          <w:iCs/>
          <w:spacing w:val="-3"/>
          <w:szCs w:val="22"/>
        </w:rPr>
        <w:t>m</w:t>
      </w:r>
      <w:r w:rsidRPr="00557EA0">
        <w:rPr>
          <w:spacing w:val="-3"/>
          <w:szCs w:val="22"/>
        </w:rPr>
        <w:t xml:space="preserve">odeling </w:t>
      </w:r>
      <w:r w:rsidR="004F6283" w:rsidRPr="00557EA0">
        <w:rPr>
          <w:spacing w:val="-3"/>
          <w:szCs w:val="22"/>
        </w:rPr>
        <w:t>g</w:t>
      </w:r>
      <w:r w:rsidRPr="00557EA0">
        <w:rPr>
          <w:spacing w:val="-3"/>
          <w:szCs w:val="22"/>
        </w:rPr>
        <w:t>uidelines</w:t>
      </w:r>
      <w:r w:rsidR="00503160" w:rsidRPr="00557EA0">
        <w:rPr>
          <w:spacing w:val="-3"/>
          <w:szCs w:val="22"/>
        </w:rPr>
        <w:t xml:space="preserve"> and is the 1-hour background 98</w:t>
      </w:r>
      <w:r w:rsidR="00503160" w:rsidRPr="00557EA0">
        <w:rPr>
          <w:spacing w:val="-3"/>
          <w:szCs w:val="22"/>
          <w:vertAlign w:val="superscript"/>
        </w:rPr>
        <w:t>th</w:t>
      </w:r>
      <w:r w:rsidR="00503160" w:rsidRPr="00557EA0">
        <w:rPr>
          <w:spacing w:val="-3"/>
          <w:szCs w:val="22"/>
        </w:rPr>
        <w:t xml:space="preserve"> percentile concentration</w:t>
      </w:r>
      <w:r w:rsidRPr="00557EA0">
        <w:rPr>
          <w:spacing w:val="-3"/>
          <w:szCs w:val="22"/>
        </w:rPr>
        <w:t xml:space="preserve">.  </w:t>
      </w:r>
      <w:r w:rsidR="007F5BAF" w:rsidRPr="00557EA0">
        <w:rPr>
          <w:spacing w:val="-3"/>
          <w:szCs w:val="22"/>
        </w:rPr>
        <w:t>Since it is nearest the plant,</w:t>
      </w:r>
      <w:r w:rsidRPr="00557EA0">
        <w:rPr>
          <w:szCs w:val="22"/>
        </w:rPr>
        <w:t xml:space="preserve"> NO</w:t>
      </w:r>
      <w:r w:rsidRPr="00557EA0">
        <w:rPr>
          <w:szCs w:val="22"/>
          <w:vertAlign w:val="subscript"/>
        </w:rPr>
        <w:t>2</w:t>
      </w:r>
      <w:r w:rsidRPr="00557EA0">
        <w:rPr>
          <w:szCs w:val="22"/>
        </w:rPr>
        <w:t xml:space="preserve"> data is taken from the Bloomfield monitoring station.</w:t>
      </w:r>
    </w:p>
    <w:p w:rsidR="00650E05" w:rsidRPr="00557EA0" w:rsidRDefault="00650E05" w:rsidP="00650E05">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before="120" w:after="120"/>
        <w:rPr>
          <w:szCs w:val="22"/>
        </w:rPr>
      </w:pPr>
      <w:r w:rsidRPr="00557EA0">
        <w:rPr>
          <w:szCs w:val="22"/>
        </w:rPr>
        <w:lastRenderedPageBreak/>
        <w:t>The SO</w:t>
      </w:r>
      <w:r w:rsidRPr="00557EA0">
        <w:rPr>
          <w:szCs w:val="22"/>
          <w:vertAlign w:val="subscript"/>
        </w:rPr>
        <w:t>2</w:t>
      </w:r>
      <w:r w:rsidRPr="00557EA0">
        <w:rPr>
          <w:szCs w:val="22"/>
        </w:rPr>
        <w:t xml:space="preserve"> data is obtained from Table 21 of the </w:t>
      </w:r>
      <w:r w:rsidR="004F6283" w:rsidRPr="00557EA0">
        <w:rPr>
          <w:szCs w:val="22"/>
        </w:rPr>
        <w:t>m</w:t>
      </w:r>
      <w:r w:rsidRPr="00557EA0">
        <w:rPr>
          <w:spacing w:val="-3"/>
          <w:szCs w:val="22"/>
        </w:rPr>
        <w:t xml:space="preserve">odeling </w:t>
      </w:r>
      <w:r w:rsidR="004F6283" w:rsidRPr="00557EA0">
        <w:rPr>
          <w:spacing w:val="-3"/>
          <w:szCs w:val="22"/>
        </w:rPr>
        <w:t>g</w:t>
      </w:r>
      <w:r w:rsidRPr="00557EA0">
        <w:rPr>
          <w:spacing w:val="-3"/>
          <w:szCs w:val="22"/>
        </w:rPr>
        <w:t>uidelines</w:t>
      </w:r>
      <w:r w:rsidR="00160516" w:rsidRPr="00557EA0">
        <w:rPr>
          <w:spacing w:val="-3"/>
          <w:szCs w:val="22"/>
        </w:rPr>
        <w:t xml:space="preserve"> and is the 1-hour background 99</w:t>
      </w:r>
      <w:r w:rsidR="00160516" w:rsidRPr="00557EA0">
        <w:rPr>
          <w:spacing w:val="-3"/>
          <w:szCs w:val="22"/>
          <w:vertAlign w:val="superscript"/>
        </w:rPr>
        <w:t>th</w:t>
      </w:r>
      <w:r w:rsidR="00160516" w:rsidRPr="00557EA0">
        <w:rPr>
          <w:spacing w:val="-3"/>
          <w:szCs w:val="22"/>
        </w:rPr>
        <w:t xml:space="preserve"> percentile concentration.  </w:t>
      </w:r>
      <w:r w:rsidRPr="00557EA0">
        <w:rPr>
          <w:spacing w:val="-3"/>
          <w:szCs w:val="22"/>
        </w:rPr>
        <w:t>Consistent with direction provided in the Table, t</w:t>
      </w:r>
      <w:r w:rsidRPr="00557EA0">
        <w:rPr>
          <w:szCs w:val="22"/>
        </w:rPr>
        <w:t>he SO</w:t>
      </w:r>
      <w:r w:rsidRPr="00557EA0">
        <w:rPr>
          <w:szCs w:val="22"/>
          <w:vertAlign w:val="subscript"/>
        </w:rPr>
        <w:t>2</w:t>
      </w:r>
      <w:r w:rsidRPr="00557EA0">
        <w:rPr>
          <w:szCs w:val="22"/>
        </w:rPr>
        <w:t xml:space="preserve"> data is taken from the Bloomfield monitoring station.</w:t>
      </w:r>
    </w:p>
    <w:p w:rsidR="00670914" w:rsidRPr="00557EA0" w:rsidRDefault="00670914" w:rsidP="00650E05">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before="120" w:after="120"/>
        <w:rPr>
          <w:szCs w:val="22"/>
        </w:rPr>
      </w:pPr>
      <w:r w:rsidRPr="00557EA0">
        <w:rPr>
          <w:szCs w:val="22"/>
        </w:rPr>
        <w:t>If a more refined approach is needed to demonstrate compliance, it will be coordinated with the NMAQB.</w:t>
      </w:r>
    </w:p>
    <w:p w:rsidR="00670914" w:rsidRPr="00557EA0" w:rsidRDefault="00670914" w:rsidP="00670914">
      <w:pPr>
        <w:pStyle w:val="Heading1"/>
        <w:spacing w:before="120" w:after="120"/>
        <w:jc w:val="left"/>
        <w:rPr>
          <w:sz w:val="22"/>
          <w:szCs w:val="22"/>
        </w:rPr>
      </w:pPr>
      <w:r w:rsidRPr="00557EA0">
        <w:rPr>
          <w:sz w:val="22"/>
          <w:szCs w:val="22"/>
        </w:rPr>
        <w:t>NO</w:t>
      </w:r>
      <w:r w:rsidRPr="00557EA0">
        <w:rPr>
          <w:sz w:val="22"/>
          <w:szCs w:val="22"/>
          <w:vertAlign w:val="subscript"/>
        </w:rPr>
        <w:t>X</w:t>
      </w:r>
      <w:r w:rsidRPr="00557EA0">
        <w:rPr>
          <w:sz w:val="22"/>
          <w:szCs w:val="22"/>
        </w:rPr>
        <w:t xml:space="preserve"> TO NO</w:t>
      </w:r>
      <w:r w:rsidRPr="00557EA0">
        <w:rPr>
          <w:sz w:val="22"/>
          <w:szCs w:val="22"/>
          <w:vertAlign w:val="subscript"/>
        </w:rPr>
        <w:t>2</w:t>
      </w:r>
      <w:r w:rsidRPr="00557EA0">
        <w:rPr>
          <w:sz w:val="22"/>
          <w:szCs w:val="22"/>
        </w:rPr>
        <w:t xml:space="preserve"> CONVERSION</w:t>
      </w:r>
    </w:p>
    <w:p w:rsidR="00D253B2" w:rsidRPr="00557EA0" w:rsidRDefault="00D253B2" w:rsidP="00D253B2">
      <w:pPr>
        <w:pStyle w:val="BodyText"/>
        <w:widowControl/>
        <w:spacing w:before="120" w:after="120"/>
        <w:rPr>
          <w:iCs/>
          <w:spacing w:val="-3"/>
          <w:szCs w:val="22"/>
        </w:rPr>
      </w:pPr>
      <w:r w:rsidRPr="00557EA0">
        <w:rPr>
          <w:szCs w:val="22"/>
        </w:rPr>
        <w:t>NO</w:t>
      </w:r>
      <w:r w:rsidRPr="00557EA0">
        <w:rPr>
          <w:szCs w:val="22"/>
          <w:vertAlign w:val="subscript"/>
        </w:rPr>
        <w:t>X</w:t>
      </w:r>
      <w:r w:rsidRPr="00557EA0">
        <w:rPr>
          <w:szCs w:val="22"/>
        </w:rPr>
        <w:t xml:space="preserve"> impacts will be converted to NO</w:t>
      </w:r>
      <w:r w:rsidRPr="00557EA0">
        <w:rPr>
          <w:szCs w:val="22"/>
          <w:vertAlign w:val="subscript"/>
        </w:rPr>
        <w:t>2</w:t>
      </w:r>
      <w:r w:rsidRPr="00557EA0">
        <w:rPr>
          <w:szCs w:val="22"/>
        </w:rPr>
        <w:t xml:space="preserve"> impacts using the Ambient Ratio Method </w:t>
      </w:r>
      <w:r w:rsidR="00503160" w:rsidRPr="00557EA0">
        <w:rPr>
          <w:szCs w:val="22"/>
        </w:rPr>
        <w:t xml:space="preserve">2 </w:t>
      </w:r>
      <w:r w:rsidRPr="00557EA0">
        <w:rPr>
          <w:szCs w:val="22"/>
        </w:rPr>
        <w:t>(ARM</w:t>
      </w:r>
      <w:r w:rsidR="00503160" w:rsidRPr="00557EA0">
        <w:rPr>
          <w:szCs w:val="22"/>
        </w:rPr>
        <w:t>2</w:t>
      </w:r>
      <w:r w:rsidRPr="00557EA0">
        <w:rPr>
          <w:szCs w:val="22"/>
        </w:rPr>
        <w:t>)</w:t>
      </w:r>
      <w:r w:rsidRPr="00557EA0">
        <w:rPr>
          <w:iCs/>
          <w:spacing w:val="-3"/>
          <w:szCs w:val="22"/>
        </w:rPr>
        <w:t xml:space="preserve">.  </w:t>
      </w:r>
      <w:r w:rsidR="00503160" w:rsidRPr="00557EA0">
        <w:rPr>
          <w:iCs/>
          <w:spacing w:val="-3"/>
          <w:szCs w:val="22"/>
        </w:rPr>
        <w:t xml:space="preserve">If an </w:t>
      </w:r>
      <w:r w:rsidRPr="00557EA0">
        <w:rPr>
          <w:iCs/>
          <w:spacing w:val="-3"/>
          <w:szCs w:val="22"/>
        </w:rPr>
        <w:t>NO</w:t>
      </w:r>
      <w:r w:rsidRPr="00557EA0">
        <w:rPr>
          <w:iCs/>
          <w:spacing w:val="-3"/>
          <w:szCs w:val="22"/>
          <w:vertAlign w:val="subscript"/>
        </w:rPr>
        <w:t>2</w:t>
      </w:r>
      <w:r w:rsidRPr="00557EA0">
        <w:rPr>
          <w:iCs/>
          <w:spacing w:val="-3"/>
          <w:szCs w:val="22"/>
        </w:rPr>
        <w:t>/NO</w:t>
      </w:r>
      <w:r w:rsidRPr="00557EA0">
        <w:rPr>
          <w:iCs/>
          <w:spacing w:val="-3"/>
          <w:szCs w:val="22"/>
          <w:vertAlign w:val="subscript"/>
        </w:rPr>
        <w:t>X</w:t>
      </w:r>
      <w:r w:rsidRPr="00557EA0">
        <w:rPr>
          <w:iCs/>
          <w:spacing w:val="-3"/>
          <w:szCs w:val="22"/>
        </w:rPr>
        <w:t xml:space="preserve"> ratio </w:t>
      </w:r>
      <w:r w:rsidR="00503160" w:rsidRPr="00557EA0">
        <w:rPr>
          <w:iCs/>
          <w:spacing w:val="-3"/>
          <w:szCs w:val="22"/>
        </w:rPr>
        <w:t>of less than 0.5 is used, justification will be provided.</w:t>
      </w:r>
    </w:p>
    <w:p w:rsidR="00D276C4" w:rsidRPr="00557EA0" w:rsidRDefault="00471FD4">
      <w:pPr>
        <w:pStyle w:val="BodyText"/>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after="120"/>
        <w:rPr>
          <w:szCs w:val="22"/>
        </w:rPr>
      </w:pPr>
      <w:r w:rsidRPr="00557EA0">
        <w:rPr>
          <w:szCs w:val="22"/>
        </w:rPr>
        <w:t xml:space="preserve">Thank you for your attention in this matter.  </w:t>
      </w:r>
      <w:r w:rsidR="00D276C4" w:rsidRPr="00557EA0">
        <w:rPr>
          <w:szCs w:val="22"/>
        </w:rPr>
        <w:t>If you have any questions or comments, please contact me at (801) 294-0454.</w:t>
      </w:r>
    </w:p>
    <w:p w:rsidR="00D276C4" w:rsidRPr="00557EA0" w:rsidRDefault="00D276C4">
      <w:pPr>
        <w:pStyle w:val="Footer"/>
        <w:keepNext/>
        <w:tabs>
          <w:tab w:val="clear" w:pos="4320"/>
          <w:tab w:val="clear" w:pos="8640"/>
        </w:tabs>
        <w:spacing w:before="120"/>
        <w:rPr>
          <w:sz w:val="22"/>
          <w:szCs w:val="22"/>
        </w:rPr>
      </w:pPr>
      <w:r w:rsidRPr="00557EA0">
        <w:rPr>
          <w:sz w:val="22"/>
          <w:szCs w:val="22"/>
        </w:rPr>
        <w:t>Sincerely,</w:t>
      </w:r>
    </w:p>
    <w:p w:rsidR="00D276C4" w:rsidRPr="00557EA0" w:rsidRDefault="00D276C4">
      <w:pPr>
        <w:keepNext/>
        <w:spacing w:before="0"/>
        <w:ind w:left="720" w:hanging="720"/>
        <w:rPr>
          <w:sz w:val="22"/>
          <w:szCs w:val="22"/>
        </w:rPr>
      </w:pPr>
    </w:p>
    <w:p w:rsidR="00D276C4" w:rsidRPr="00557EA0" w:rsidRDefault="00D276C4">
      <w:pPr>
        <w:pStyle w:val="Heading2"/>
        <w:spacing w:before="0" w:after="0"/>
        <w:rPr>
          <w:bCs/>
          <w:caps w:val="0"/>
          <w:sz w:val="22"/>
          <w:szCs w:val="22"/>
        </w:rPr>
      </w:pPr>
      <w:r w:rsidRPr="00557EA0">
        <w:rPr>
          <w:bCs/>
          <w:caps w:val="0"/>
          <w:sz w:val="22"/>
          <w:szCs w:val="22"/>
        </w:rPr>
        <w:t>CIRRUS CONSULTING, LLC</w:t>
      </w:r>
    </w:p>
    <w:p w:rsidR="00D276C4" w:rsidRPr="00557EA0" w:rsidRDefault="001E40F6">
      <w:pPr>
        <w:keepNext/>
        <w:spacing w:before="0"/>
        <w:ind w:left="720" w:hanging="720"/>
        <w:rPr>
          <w:sz w:val="22"/>
          <w:szCs w:val="22"/>
        </w:rPr>
      </w:pPr>
      <w:r w:rsidRPr="00557EA0">
        <w:rPr>
          <w:noProof/>
          <w:sz w:val="22"/>
          <w:szCs w:val="22"/>
        </w:rPr>
        <w:drawing>
          <wp:inline distT="0" distB="0" distL="0" distR="0">
            <wp:extent cx="1562100" cy="523875"/>
            <wp:effectExtent l="0" t="0" r="0" b="0"/>
            <wp:docPr id="1" name="Picture 1" descr="Jame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p>
    <w:p w:rsidR="00D276C4" w:rsidRPr="00557EA0" w:rsidRDefault="00D276C4">
      <w:pPr>
        <w:keepNext/>
        <w:spacing w:before="0"/>
        <w:ind w:left="720" w:hanging="720"/>
        <w:rPr>
          <w:sz w:val="22"/>
          <w:szCs w:val="22"/>
        </w:rPr>
      </w:pPr>
      <w:r w:rsidRPr="00557EA0">
        <w:rPr>
          <w:sz w:val="22"/>
          <w:szCs w:val="22"/>
        </w:rPr>
        <w:t>James W. Newby</w:t>
      </w:r>
    </w:p>
    <w:p w:rsidR="00D276C4" w:rsidRPr="00557EA0" w:rsidRDefault="00D276C4">
      <w:pPr>
        <w:keepNext/>
        <w:spacing w:before="0"/>
        <w:ind w:left="720" w:hanging="720"/>
        <w:rPr>
          <w:sz w:val="22"/>
          <w:szCs w:val="22"/>
        </w:rPr>
      </w:pPr>
    </w:p>
    <w:p w:rsidR="00D276C4" w:rsidRPr="00557EA0" w:rsidRDefault="00D276C4">
      <w:pPr>
        <w:spacing w:before="0"/>
        <w:ind w:left="720" w:hanging="720"/>
        <w:rPr>
          <w:sz w:val="22"/>
          <w:szCs w:val="22"/>
        </w:rPr>
      </w:pPr>
      <w:r w:rsidRPr="00557EA0">
        <w:rPr>
          <w:sz w:val="22"/>
          <w:szCs w:val="22"/>
        </w:rPr>
        <w:t>cc:</w:t>
      </w:r>
      <w:r w:rsidRPr="00557EA0">
        <w:rPr>
          <w:sz w:val="22"/>
          <w:szCs w:val="22"/>
        </w:rPr>
        <w:tab/>
      </w:r>
      <w:r w:rsidR="00471FD4" w:rsidRPr="00557EA0">
        <w:rPr>
          <w:sz w:val="22"/>
          <w:szCs w:val="22"/>
        </w:rPr>
        <w:t>Mitch Morris</w:t>
      </w:r>
      <w:r w:rsidRPr="00557EA0">
        <w:rPr>
          <w:sz w:val="22"/>
          <w:szCs w:val="22"/>
        </w:rPr>
        <w:t>, WF</w:t>
      </w:r>
      <w:r w:rsidR="00471FD4" w:rsidRPr="00557EA0">
        <w:rPr>
          <w:sz w:val="22"/>
          <w:szCs w:val="22"/>
        </w:rPr>
        <w:t>C</w:t>
      </w:r>
    </w:p>
    <w:sectPr w:rsidR="00D276C4" w:rsidRPr="00557EA0">
      <w:headerReference w:type="default" r:id="rId9"/>
      <w:footerReference w:type="default" r:id="rId10"/>
      <w:headerReference w:type="first" r:id="rId11"/>
      <w:footerReference w:type="first" r:id="rId12"/>
      <w:pgSz w:w="12240" w:h="15840" w:code="1"/>
      <w:pgMar w:top="1440" w:right="1440" w:bottom="1440" w:left="1440" w:header="10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0AC" w:rsidRDefault="003810AC">
      <w:pPr>
        <w:spacing w:before="0"/>
      </w:pPr>
      <w:r>
        <w:separator/>
      </w:r>
    </w:p>
  </w:endnote>
  <w:endnote w:type="continuationSeparator" w:id="0">
    <w:p w:rsidR="003810AC" w:rsidRDefault="003810A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charset w:val="00"/>
    <w:family w:val="roman"/>
    <w:pitch w:val="variable"/>
    <w:sig w:usb0="00000007" w:usb1="00000000" w:usb2="00000000" w:usb3="00000000" w:csb0="00000093"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D03" w:rsidRDefault="00A77D03">
    <w:pPr>
      <w:pStyle w:val="Footer"/>
      <w:tabs>
        <w:tab w:val="clear" w:pos="4320"/>
        <w:tab w:val="clear" w:pos="8640"/>
        <w:tab w:val="right" w:pos="9360"/>
      </w:tabs>
      <w:spacing w:before="0"/>
      <w:rPr>
        <w:i/>
        <w:iCs/>
      </w:rPr>
    </w:pPr>
    <w:r>
      <w:tab/>
    </w:r>
    <w:r>
      <w:rPr>
        <w:i/>
        <w:iCs/>
      </w:rPr>
      <w:t>Cirrus Consulting, LLC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D03" w:rsidRDefault="00A77D03">
    <w:pPr>
      <w:pStyle w:val="Header"/>
      <w:tabs>
        <w:tab w:val="clear" w:pos="8640"/>
        <w:tab w:val="right" w:pos="9360"/>
      </w:tabs>
    </w:pPr>
  </w:p>
  <w:p w:rsidR="00A77D03" w:rsidRPr="009207C4" w:rsidRDefault="00A77D03">
    <w:pPr>
      <w:pStyle w:val="Header"/>
      <w:pBdr>
        <w:top w:val="single" w:sz="8" w:space="0" w:color="auto"/>
      </w:pBdr>
      <w:tabs>
        <w:tab w:val="clear" w:pos="8640"/>
        <w:tab w:val="right" w:pos="9360"/>
      </w:tabs>
    </w:pPr>
    <w:r w:rsidRPr="009207C4">
      <w:t>Cirrus Consulting, LLC</w:t>
    </w:r>
    <w:r w:rsidRPr="009207C4">
      <w:tab/>
      <w:t>Tel</w:t>
    </w:r>
    <w:proofErr w:type="gramStart"/>
    <w:r w:rsidRPr="009207C4">
      <w:t>:  (</w:t>
    </w:r>
    <w:proofErr w:type="gramEnd"/>
    <w:r w:rsidRPr="009207C4">
      <w:t xml:space="preserve">801) </w:t>
    </w:r>
    <w:r>
      <w:t>544-5275</w:t>
    </w:r>
  </w:p>
  <w:p w:rsidR="00A77D03" w:rsidRPr="009207C4" w:rsidRDefault="00A77D03">
    <w:pPr>
      <w:pStyle w:val="Header"/>
      <w:tabs>
        <w:tab w:val="clear" w:pos="8640"/>
        <w:tab w:val="right" w:pos="9360"/>
      </w:tabs>
    </w:pPr>
    <w:r>
      <w:t>979 Manchester Road</w:t>
    </w:r>
    <w:r w:rsidRPr="009207C4">
      <w:tab/>
      <w:t>jnewby@cirrusllc.com</w:t>
    </w:r>
  </w:p>
  <w:p w:rsidR="00A77D03" w:rsidRPr="009207C4" w:rsidRDefault="00A77D03">
    <w:pPr>
      <w:pStyle w:val="Header"/>
      <w:tabs>
        <w:tab w:val="clear" w:pos="8640"/>
        <w:tab w:val="right" w:pos="9360"/>
      </w:tabs>
      <w:jc w:val="left"/>
    </w:pPr>
    <w:r>
      <w:t>Kaysville</w:t>
    </w:r>
    <w:r w:rsidRPr="009207C4">
      <w:t>, Utah 840</w:t>
    </w:r>
    <w:r>
      <w:t>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0AC" w:rsidRDefault="003810AC">
      <w:pPr>
        <w:spacing w:before="0"/>
      </w:pPr>
      <w:r>
        <w:separator/>
      </w:r>
    </w:p>
  </w:footnote>
  <w:footnote w:type="continuationSeparator" w:id="0">
    <w:p w:rsidR="003810AC" w:rsidRDefault="003810A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D03" w:rsidRPr="00557EA0" w:rsidRDefault="00A77D03">
    <w:pPr>
      <w:pStyle w:val="Header"/>
      <w:rPr>
        <w:sz w:val="22"/>
        <w:szCs w:val="22"/>
      </w:rPr>
    </w:pPr>
    <w:r w:rsidRPr="00557EA0">
      <w:rPr>
        <w:sz w:val="22"/>
        <w:szCs w:val="22"/>
      </w:rPr>
      <w:t>Mr. Sufi Mustafa</w:t>
    </w:r>
  </w:p>
  <w:p w:rsidR="00A77D03" w:rsidRPr="00557EA0" w:rsidRDefault="00A77D03">
    <w:pPr>
      <w:pStyle w:val="Header"/>
      <w:rPr>
        <w:sz w:val="22"/>
        <w:szCs w:val="22"/>
      </w:rPr>
    </w:pPr>
    <w:r w:rsidRPr="00557EA0">
      <w:rPr>
        <w:sz w:val="22"/>
        <w:szCs w:val="22"/>
      </w:rPr>
      <w:t xml:space="preserve">February </w:t>
    </w:r>
    <w:r w:rsidR="00245113">
      <w:rPr>
        <w:sz w:val="22"/>
        <w:szCs w:val="22"/>
      </w:rPr>
      <w:t>12</w:t>
    </w:r>
    <w:r w:rsidRPr="00557EA0">
      <w:rPr>
        <w:sz w:val="22"/>
        <w:szCs w:val="22"/>
      </w:rPr>
      <w:t>, 2018</w:t>
    </w:r>
  </w:p>
  <w:p w:rsidR="00A77D03" w:rsidRPr="00557EA0" w:rsidRDefault="00A77D03">
    <w:pPr>
      <w:pStyle w:val="Header"/>
      <w:rPr>
        <w:sz w:val="22"/>
        <w:szCs w:val="22"/>
      </w:rPr>
    </w:pPr>
    <w:r w:rsidRPr="00557EA0">
      <w:rPr>
        <w:sz w:val="22"/>
        <w:szCs w:val="22"/>
      </w:rPr>
      <w:t xml:space="preserve">Page </w:t>
    </w:r>
    <w:r w:rsidRPr="00557EA0">
      <w:rPr>
        <w:sz w:val="22"/>
        <w:szCs w:val="22"/>
      </w:rPr>
      <w:fldChar w:fldCharType="begin"/>
    </w:r>
    <w:r w:rsidRPr="00557EA0">
      <w:rPr>
        <w:sz w:val="22"/>
        <w:szCs w:val="22"/>
      </w:rPr>
      <w:instrText xml:space="preserve"> PAGE   \* MERGEFORMAT </w:instrText>
    </w:r>
    <w:r w:rsidRPr="00557EA0">
      <w:rPr>
        <w:sz w:val="22"/>
        <w:szCs w:val="22"/>
      </w:rPr>
      <w:fldChar w:fldCharType="separate"/>
    </w:r>
    <w:r w:rsidR="00245113">
      <w:rPr>
        <w:noProof/>
        <w:sz w:val="22"/>
        <w:szCs w:val="22"/>
      </w:rPr>
      <w:t>6</w:t>
    </w:r>
    <w:r w:rsidRPr="00557EA0">
      <w:rPr>
        <w:sz w:val="22"/>
        <w:szCs w:val="22"/>
      </w:rPr>
      <w:fldChar w:fldCharType="end"/>
    </w:r>
  </w:p>
  <w:p w:rsidR="00A77D03" w:rsidRPr="00557EA0" w:rsidRDefault="00A77D03">
    <w:pPr>
      <w:pStyle w:val="Header"/>
      <w:rPr>
        <w:sz w:val="22"/>
        <w:szCs w:val="22"/>
      </w:rPr>
    </w:pPr>
  </w:p>
  <w:p w:rsidR="00A77D03" w:rsidRPr="00557EA0" w:rsidRDefault="00A77D03">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D03" w:rsidRDefault="00A77D03">
    <w:pPr>
      <w:pStyle w:val="Table"/>
      <w:pBdr>
        <w:bottom w:val="single" w:sz="4" w:space="1" w:color="auto"/>
      </w:pBdr>
      <w:jc w:val="right"/>
      <w:rPr>
        <w:rFonts w:ascii="Lucida Calligraphy" w:hAnsi="Lucida Calligraphy"/>
        <w:i/>
        <w:iCs/>
        <w:sz w:val="44"/>
      </w:rPr>
    </w:pPr>
    <w:r>
      <w:rPr>
        <w:rFonts w:ascii="Lucida Calligraphy" w:hAnsi="Lucida Calligraphy"/>
        <w:i/>
        <w:iCs/>
        <w:sz w:val="44"/>
      </w:rPr>
      <w:t>Cirrus Consulting, LLC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E88009A"/>
    <w:lvl w:ilvl="0">
      <w:numFmt w:val="decimal"/>
      <w:pStyle w:val="IndentBulletTable"/>
      <w:lvlText w:val="*"/>
      <w:lvlJc w:val="left"/>
    </w:lvl>
  </w:abstractNum>
  <w:abstractNum w:abstractNumId="1" w15:restartNumberingAfterBreak="0">
    <w:nsid w:val="05913A70"/>
    <w:multiLevelType w:val="singleLevel"/>
    <w:tmpl w:val="F348D8EE"/>
    <w:lvl w:ilvl="0">
      <w:start w:val="1"/>
      <w:numFmt w:val="bullet"/>
      <w:pStyle w:val="Bullet"/>
      <w:lvlText w:val=""/>
      <w:lvlJc w:val="left"/>
      <w:pPr>
        <w:tabs>
          <w:tab w:val="num" w:pos="360"/>
        </w:tabs>
        <w:ind w:left="360" w:hanging="360"/>
      </w:pPr>
      <w:rPr>
        <w:rFonts w:ascii="Symbol" w:hAnsi="Symbol" w:hint="default"/>
      </w:rPr>
    </w:lvl>
  </w:abstractNum>
  <w:abstractNum w:abstractNumId="2" w15:restartNumberingAfterBreak="0">
    <w:nsid w:val="09DD1B3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CEB460B"/>
    <w:multiLevelType w:val="singleLevel"/>
    <w:tmpl w:val="A9469640"/>
    <w:lvl w:ilvl="0">
      <w:start w:val="1"/>
      <w:numFmt w:val="bullet"/>
      <w:pStyle w:val="BulletTable"/>
      <w:lvlText w:val=""/>
      <w:lvlJc w:val="left"/>
      <w:pPr>
        <w:tabs>
          <w:tab w:val="num" w:pos="360"/>
        </w:tabs>
        <w:ind w:left="360" w:hanging="360"/>
      </w:pPr>
      <w:rPr>
        <w:rFonts w:ascii="Symbol" w:hAnsi="Symbol" w:hint="default"/>
      </w:rPr>
    </w:lvl>
  </w:abstractNum>
  <w:abstractNum w:abstractNumId="4" w15:restartNumberingAfterBreak="0">
    <w:nsid w:val="142801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954A7A"/>
    <w:multiLevelType w:val="singleLevel"/>
    <w:tmpl w:val="EF4CE0E8"/>
    <w:lvl w:ilvl="0">
      <w:numFmt w:val="bullet"/>
      <w:lvlText w:val="-"/>
      <w:lvlJc w:val="left"/>
      <w:pPr>
        <w:tabs>
          <w:tab w:val="num" w:pos="360"/>
        </w:tabs>
        <w:ind w:left="360" w:hanging="360"/>
      </w:pPr>
      <w:rPr>
        <w:rFonts w:hint="default"/>
      </w:rPr>
    </w:lvl>
  </w:abstractNum>
  <w:abstractNum w:abstractNumId="6" w15:restartNumberingAfterBreak="0">
    <w:nsid w:val="2DA30826"/>
    <w:multiLevelType w:val="hybridMultilevel"/>
    <w:tmpl w:val="7430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B5C29"/>
    <w:multiLevelType w:val="hybridMultilevel"/>
    <w:tmpl w:val="9452A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914C6"/>
    <w:multiLevelType w:val="singleLevel"/>
    <w:tmpl w:val="86FC0BBE"/>
    <w:lvl w:ilvl="0">
      <w:start w:val="1"/>
      <w:numFmt w:val="bullet"/>
      <w:pStyle w:val="IndentBullet"/>
      <w:lvlText w:val=""/>
      <w:lvlJc w:val="left"/>
      <w:pPr>
        <w:tabs>
          <w:tab w:val="num" w:pos="0"/>
        </w:tabs>
        <w:ind w:left="1080" w:hanging="360"/>
      </w:pPr>
      <w:rPr>
        <w:rFonts w:ascii="Symbol" w:hAnsi="Symbol" w:hint="default"/>
      </w:rPr>
    </w:lvl>
  </w:abstractNum>
  <w:abstractNum w:abstractNumId="9" w15:restartNumberingAfterBreak="0">
    <w:nsid w:val="511B4722"/>
    <w:multiLevelType w:val="hybridMultilevel"/>
    <w:tmpl w:val="5F1AF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3B2BB8"/>
    <w:multiLevelType w:val="hybridMultilevel"/>
    <w:tmpl w:val="F2288A7E"/>
    <w:lvl w:ilvl="0" w:tplc="352644F8">
      <w:start w:val="1"/>
      <w:numFmt w:val="bullet"/>
      <w:lvlText w:val=""/>
      <w:lvlJc w:val="left"/>
      <w:pPr>
        <w:tabs>
          <w:tab w:val="num" w:pos="1440"/>
        </w:tabs>
        <w:ind w:left="1440" w:hanging="360"/>
      </w:pPr>
      <w:rPr>
        <w:rFonts w:ascii="Symbol" w:hAnsi="Symbol" w:hint="default"/>
      </w:rPr>
    </w:lvl>
    <w:lvl w:ilvl="1" w:tplc="2F80C246" w:tentative="1">
      <w:start w:val="1"/>
      <w:numFmt w:val="bullet"/>
      <w:lvlText w:val="o"/>
      <w:lvlJc w:val="left"/>
      <w:pPr>
        <w:tabs>
          <w:tab w:val="num" w:pos="2160"/>
        </w:tabs>
        <w:ind w:left="2160" w:hanging="360"/>
      </w:pPr>
      <w:rPr>
        <w:rFonts w:ascii="Courier New" w:hAnsi="Courier New" w:hint="default"/>
      </w:rPr>
    </w:lvl>
    <w:lvl w:ilvl="2" w:tplc="76BEF8BA" w:tentative="1">
      <w:start w:val="1"/>
      <w:numFmt w:val="bullet"/>
      <w:lvlText w:val=""/>
      <w:lvlJc w:val="left"/>
      <w:pPr>
        <w:tabs>
          <w:tab w:val="num" w:pos="2880"/>
        </w:tabs>
        <w:ind w:left="2880" w:hanging="360"/>
      </w:pPr>
      <w:rPr>
        <w:rFonts w:ascii="Wingdings" w:hAnsi="Wingdings" w:hint="default"/>
      </w:rPr>
    </w:lvl>
    <w:lvl w:ilvl="3" w:tplc="7B8C2AF2" w:tentative="1">
      <w:start w:val="1"/>
      <w:numFmt w:val="bullet"/>
      <w:lvlText w:val=""/>
      <w:lvlJc w:val="left"/>
      <w:pPr>
        <w:tabs>
          <w:tab w:val="num" w:pos="3600"/>
        </w:tabs>
        <w:ind w:left="3600" w:hanging="360"/>
      </w:pPr>
      <w:rPr>
        <w:rFonts w:ascii="Symbol" w:hAnsi="Symbol" w:hint="default"/>
      </w:rPr>
    </w:lvl>
    <w:lvl w:ilvl="4" w:tplc="0ED8DC2A" w:tentative="1">
      <w:start w:val="1"/>
      <w:numFmt w:val="bullet"/>
      <w:lvlText w:val="o"/>
      <w:lvlJc w:val="left"/>
      <w:pPr>
        <w:tabs>
          <w:tab w:val="num" w:pos="4320"/>
        </w:tabs>
        <w:ind w:left="4320" w:hanging="360"/>
      </w:pPr>
      <w:rPr>
        <w:rFonts w:ascii="Courier New" w:hAnsi="Courier New" w:hint="default"/>
      </w:rPr>
    </w:lvl>
    <w:lvl w:ilvl="5" w:tplc="C3447C1A" w:tentative="1">
      <w:start w:val="1"/>
      <w:numFmt w:val="bullet"/>
      <w:lvlText w:val=""/>
      <w:lvlJc w:val="left"/>
      <w:pPr>
        <w:tabs>
          <w:tab w:val="num" w:pos="5040"/>
        </w:tabs>
        <w:ind w:left="5040" w:hanging="360"/>
      </w:pPr>
      <w:rPr>
        <w:rFonts w:ascii="Wingdings" w:hAnsi="Wingdings" w:hint="default"/>
      </w:rPr>
    </w:lvl>
    <w:lvl w:ilvl="6" w:tplc="511E75B2" w:tentative="1">
      <w:start w:val="1"/>
      <w:numFmt w:val="bullet"/>
      <w:lvlText w:val=""/>
      <w:lvlJc w:val="left"/>
      <w:pPr>
        <w:tabs>
          <w:tab w:val="num" w:pos="5760"/>
        </w:tabs>
        <w:ind w:left="5760" w:hanging="360"/>
      </w:pPr>
      <w:rPr>
        <w:rFonts w:ascii="Symbol" w:hAnsi="Symbol" w:hint="default"/>
      </w:rPr>
    </w:lvl>
    <w:lvl w:ilvl="7" w:tplc="A3BE263E" w:tentative="1">
      <w:start w:val="1"/>
      <w:numFmt w:val="bullet"/>
      <w:lvlText w:val="o"/>
      <w:lvlJc w:val="left"/>
      <w:pPr>
        <w:tabs>
          <w:tab w:val="num" w:pos="6480"/>
        </w:tabs>
        <w:ind w:left="6480" w:hanging="360"/>
      </w:pPr>
      <w:rPr>
        <w:rFonts w:ascii="Courier New" w:hAnsi="Courier New" w:hint="default"/>
      </w:rPr>
    </w:lvl>
    <w:lvl w:ilvl="8" w:tplc="915AA266"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6707DEF"/>
    <w:multiLevelType w:val="hybridMultilevel"/>
    <w:tmpl w:val="F5C4E806"/>
    <w:lvl w:ilvl="0" w:tplc="B42A5DD0">
      <w:start w:val="1"/>
      <w:numFmt w:val="bullet"/>
      <w:lvlText w:val=""/>
      <w:lvlJc w:val="left"/>
      <w:pPr>
        <w:tabs>
          <w:tab w:val="num" w:pos="720"/>
        </w:tabs>
        <w:ind w:left="720" w:hanging="360"/>
      </w:pPr>
      <w:rPr>
        <w:rFonts w:ascii="Symbol" w:hAnsi="Symbol" w:hint="default"/>
      </w:rPr>
    </w:lvl>
    <w:lvl w:ilvl="1" w:tplc="770690C2" w:tentative="1">
      <w:start w:val="1"/>
      <w:numFmt w:val="bullet"/>
      <w:lvlText w:val="o"/>
      <w:lvlJc w:val="left"/>
      <w:pPr>
        <w:tabs>
          <w:tab w:val="num" w:pos="1440"/>
        </w:tabs>
        <w:ind w:left="1440" w:hanging="360"/>
      </w:pPr>
      <w:rPr>
        <w:rFonts w:ascii="Courier New" w:hAnsi="Courier New" w:hint="default"/>
      </w:rPr>
    </w:lvl>
    <w:lvl w:ilvl="2" w:tplc="FD94A866" w:tentative="1">
      <w:start w:val="1"/>
      <w:numFmt w:val="bullet"/>
      <w:lvlText w:val=""/>
      <w:lvlJc w:val="left"/>
      <w:pPr>
        <w:tabs>
          <w:tab w:val="num" w:pos="2160"/>
        </w:tabs>
        <w:ind w:left="2160" w:hanging="360"/>
      </w:pPr>
      <w:rPr>
        <w:rFonts w:ascii="Wingdings" w:hAnsi="Wingdings" w:hint="default"/>
      </w:rPr>
    </w:lvl>
    <w:lvl w:ilvl="3" w:tplc="FB184A12" w:tentative="1">
      <w:start w:val="1"/>
      <w:numFmt w:val="bullet"/>
      <w:lvlText w:val=""/>
      <w:lvlJc w:val="left"/>
      <w:pPr>
        <w:tabs>
          <w:tab w:val="num" w:pos="2880"/>
        </w:tabs>
        <w:ind w:left="2880" w:hanging="360"/>
      </w:pPr>
      <w:rPr>
        <w:rFonts w:ascii="Symbol" w:hAnsi="Symbol" w:hint="default"/>
      </w:rPr>
    </w:lvl>
    <w:lvl w:ilvl="4" w:tplc="E7900B8E" w:tentative="1">
      <w:start w:val="1"/>
      <w:numFmt w:val="bullet"/>
      <w:lvlText w:val="o"/>
      <w:lvlJc w:val="left"/>
      <w:pPr>
        <w:tabs>
          <w:tab w:val="num" w:pos="3600"/>
        </w:tabs>
        <w:ind w:left="3600" w:hanging="360"/>
      </w:pPr>
      <w:rPr>
        <w:rFonts w:ascii="Courier New" w:hAnsi="Courier New" w:hint="default"/>
      </w:rPr>
    </w:lvl>
    <w:lvl w:ilvl="5" w:tplc="CC7EB00E" w:tentative="1">
      <w:start w:val="1"/>
      <w:numFmt w:val="bullet"/>
      <w:lvlText w:val=""/>
      <w:lvlJc w:val="left"/>
      <w:pPr>
        <w:tabs>
          <w:tab w:val="num" w:pos="4320"/>
        </w:tabs>
        <w:ind w:left="4320" w:hanging="360"/>
      </w:pPr>
      <w:rPr>
        <w:rFonts w:ascii="Wingdings" w:hAnsi="Wingdings" w:hint="default"/>
      </w:rPr>
    </w:lvl>
    <w:lvl w:ilvl="6" w:tplc="A12A3EAA" w:tentative="1">
      <w:start w:val="1"/>
      <w:numFmt w:val="bullet"/>
      <w:lvlText w:val=""/>
      <w:lvlJc w:val="left"/>
      <w:pPr>
        <w:tabs>
          <w:tab w:val="num" w:pos="5040"/>
        </w:tabs>
        <w:ind w:left="5040" w:hanging="360"/>
      </w:pPr>
      <w:rPr>
        <w:rFonts w:ascii="Symbol" w:hAnsi="Symbol" w:hint="default"/>
      </w:rPr>
    </w:lvl>
    <w:lvl w:ilvl="7" w:tplc="6C403722" w:tentative="1">
      <w:start w:val="1"/>
      <w:numFmt w:val="bullet"/>
      <w:lvlText w:val="o"/>
      <w:lvlJc w:val="left"/>
      <w:pPr>
        <w:tabs>
          <w:tab w:val="num" w:pos="5760"/>
        </w:tabs>
        <w:ind w:left="5760" w:hanging="360"/>
      </w:pPr>
      <w:rPr>
        <w:rFonts w:ascii="Courier New" w:hAnsi="Courier New" w:hint="default"/>
      </w:rPr>
    </w:lvl>
    <w:lvl w:ilvl="8" w:tplc="A5C85F4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BE19E6"/>
    <w:multiLevelType w:val="hybridMultilevel"/>
    <w:tmpl w:val="A700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8"/>
  </w:num>
  <w:num w:numId="5">
    <w:abstractNumId w:val="0"/>
    <w:lvlOverride w:ilvl="0">
      <w:lvl w:ilvl="0">
        <w:start w:val="1"/>
        <w:numFmt w:val="bullet"/>
        <w:pStyle w:val="IndentBulletTable"/>
        <w:lvlText w:val=""/>
        <w:legacy w:legacy="1" w:legacySpace="0" w:legacyIndent="360"/>
        <w:lvlJc w:val="left"/>
        <w:pPr>
          <w:ind w:left="1080" w:hanging="360"/>
        </w:pPr>
        <w:rPr>
          <w:rFonts w:ascii="Symbol" w:hAnsi="Symbol" w:hint="default"/>
        </w:rPr>
      </w:lvl>
    </w:lvlOverride>
  </w:num>
  <w:num w:numId="6">
    <w:abstractNumId w:val="5"/>
  </w:num>
  <w:num w:numId="7">
    <w:abstractNumId w:val="11"/>
  </w:num>
  <w:num w:numId="8">
    <w:abstractNumId w:val="10"/>
  </w:num>
  <w:num w:numId="9">
    <w:abstractNumId w:val="4"/>
  </w:num>
  <w:num w:numId="10">
    <w:abstractNumId w:val="6"/>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50"/>
    <w:rsid w:val="0000305D"/>
    <w:rsid w:val="000100E9"/>
    <w:rsid w:val="00025DD5"/>
    <w:rsid w:val="000423B1"/>
    <w:rsid w:val="0006693B"/>
    <w:rsid w:val="00091207"/>
    <w:rsid w:val="0009273C"/>
    <w:rsid w:val="000A6BC0"/>
    <w:rsid w:val="000B6F63"/>
    <w:rsid w:val="000C6EEE"/>
    <w:rsid w:val="000E1BB6"/>
    <w:rsid w:val="000F1EED"/>
    <w:rsid w:val="000F3C0B"/>
    <w:rsid w:val="000F6DE1"/>
    <w:rsid w:val="00124742"/>
    <w:rsid w:val="00160516"/>
    <w:rsid w:val="00190D97"/>
    <w:rsid w:val="001E40F6"/>
    <w:rsid w:val="001E5970"/>
    <w:rsid w:val="001F295D"/>
    <w:rsid w:val="001F7817"/>
    <w:rsid w:val="0020245E"/>
    <w:rsid w:val="00245113"/>
    <w:rsid w:val="00272810"/>
    <w:rsid w:val="00295C13"/>
    <w:rsid w:val="002A1187"/>
    <w:rsid w:val="002C094D"/>
    <w:rsid w:val="00313475"/>
    <w:rsid w:val="0034177F"/>
    <w:rsid w:val="0034707B"/>
    <w:rsid w:val="00370882"/>
    <w:rsid w:val="003810AC"/>
    <w:rsid w:val="00390BFB"/>
    <w:rsid w:val="0039395F"/>
    <w:rsid w:val="003A3E90"/>
    <w:rsid w:val="003B4167"/>
    <w:rsid w:val="0040066B"/>
    <w:rsid w:val="00415C06"/>
    <w:rsid w:val="00424E2C"/>
    <w:rsid w:val="00427A38"/>
    <w:rsid w:val="004300D5"/>
    <w:rsid w:val="00450CE1"/>
    <w:rsid w:val="00463551"/>
    <w:rsid w:val="00466653"/>
    <w:rsid w:val="00466A33"/>
    <w:rsid w:val="00471FD4"/>
    <w:rsid w:val="0048232D"/>
    <w:rsid w:val="004A2F72"/>
    <w:rsid w:val="004E26D5"/>
    <w:rsid w:val="004F6283"/>
    <w:rsid w:val="00503160"/>
    <w:rsid w:val="00515FFD"/>
    <w:rsid w:val="00524DBC"/>
    <w:rsid w:val="0053622E"/>
    <w:rsid w:val="005451A5"/>
    <w:rsid w:val="00556638"/>
    <w:rsid w:val="00557EA0"/>
    <w:rsid w:val="00565AEB"/>
    <w:rsid w:val="00567E93"/>
    <w:rsid w:val="00591F3B"/>
    <w:rsid w:val="005A1BC8"/>
    <w:rsid w:val="005E184A"/>
    <w:rsid w:val="00637C01"/>
    <w:rsid w:val="00650E05"/>
    <w:rsid w:val="006548D3"/>
    <w:rsid w:val="00661F77"/>
    <w:rsid w:val="00665B1A"/>
    <w:rsid w:val="00670914"/>
    <w:rsid w:val="006714BD"/>
    <w:rsid w:val="00686A50"/>
    <w:rsid w:val="006A4D17"/>
    <w:rsid w:val="006B060C"/>
    <w:rsid w:val="006C6086"/>
    <w:rsid w:val="006C70FD"/>
    <w:rsid w:val="006E4D3C"/>
    <w:rsid w:val="0070321E"/>
    <w:rsid w:val="00727634"/>
    <w:rsid w:val="0074775F"/>
    <w:rsid w:val="007601BE"/>
    <w:rsid w:val="00766275"/>
    <w:rsid w:val="007B7FB5"/>
    <w:rsid w:val="007C5F91"/>
    <w:rsid w:val="007C663C"/>
    <w:rsid w:val="007D2125"/>
    <w:rsid w:val="007F0271"/>
    <w:rsid w:val="007F05FF"/>
    <w:rsid w:val="007F5BAF"/>
    <w:rsid w:val="008206DF"/>
    <w:rsid w:val="00855860"/>
    <w:rsid w:val="0085635B"/>
    <w:rsid w:val="008612F6"/>
    <w:rsid w:val="00871E7D"/>
    <w:rsid w:val="00880249"/>
    <w:rsid w:val="008B0633"/>
    <w:rsid w:val="008B1DA7"/>
    <w:rsid w:val="008D32BB"/>
    <w:rsid w:val="008D37E3"/>
    <w:rsid w:val="008D420B"/>
    <w:rsid w:val="009207C4"/>
    <w:rsid w:val="0093481F"/>
    <w:rsid w:val="00967DB3"/>
    <w:rsid w:val="00983BC9"/>
    <w:rsid w:val="00997195"/>
    <w:rsid w:val="009E15DD"/>
    <w:rsid w:val="00A02ED8"/>
    <w:rsid w:val="00A0789C"/>
    <w:rsid w:val="00A34A41"/>
    <w:rsid w:val="00A52E9E"/>
    <w:rsid w:val="00A77D03"/>
    <w:rsid w:val="00AA4274"/>
    <w:rsid w:val="00AC6501"/>
    <w:rsid w:val="00AD1AE2"/>
    <w:rsid w:val="00AE4F08"/>
    <w:rsid w:val="00AE6C4A"/>
    <w:rsid w:val="00AF1364"/>
    <w:rsid w:val="00AF4407"/>
    <w:rsid w:val="00B53459"/>
    <w:rsid w:val="00B81816"/>
    <w:rsid w:val="00BA145F"/>
    <w:rsid w:val="00BD5E64"/>
    <w:rsid w:val="00BE4E4B"/>
    <w:rsid w:val="00BE6A7B"/>
    <w:rsid w:val="00C2565E"/>
    <w:rsid w:val="00C622A0"/>
    <w:rsid w:val="00C63C38"/>
    <w:rsid w:val="00C92135"/>
    <w:rsid w:val="00C9415C"/>
    <w:rsid w:val="00C9711B"/>
    <w:rsid w:val="00CC5022"/>
    <w:rsid w:val="00CC6FAE"/>
    <w:rsid w:val="00CD1B2C"/>
    <w:rsid w:val="00CD6572"/>
    <w:rsid w:val="00CE2EC8"/>
    <w:rsid w:val="00CE5303"/>
    <w:rsid w:val="00CF140D"/>
    <w:rsid w:val="00D07CF2"/>
    <w:rsid w:val="00D10BA3"/>
    <w:rsid w:val="00D253B2"/>
    <w:rsid w:val="00D276C4"/>
    <w:rsid w:val="00D52A72"/>
    <w:rsid w:val="00DC272E"/>
    <w:rsid w:val="00DD6C47"/>
    <w:rsid w:val="00E04D17"/>
    <w:rsid w:val="00E71943"/>
    <w:rsid w:val="00E84C2E"/>
    <w:rsid w:val="00E962AD"/>
    <w:rsid w:val="00EB0993"/>
    <w:rsid w:val="00EB35D3"/>
    <w:rsid w:val="00EC22D6"/>
    <w:rsid w:val="00ED1E64"/>
    <w:rsid w:val="00ED7741"/>
    <w:rsid w:val="00F15F82"/>
    <w:rsid w:val="00F226C2"/>
    <w:rsid w:val="00F256E6"/>
    <w:rsid w:val="00F31E04"/>
    <w:rsid w:val="00F57D68"/>
    <w:rsid w:val="00F808AA"/>
    <w:rsid w:val="00FA2DD9"/>
    <w:rsid w:val="00FB0577"/>
    <w:rsid w:val="00FE2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9F6D84"/>
  <w15:chartTrackingRefBased/>
  <w15:docId w15:val="{B003D4AE-D2CD-49A6-B1D0-4C76A9A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240"/>
      <w:jc w:val="both"/>
    </w:pPr>
    <w:rPr>
      <w:sz w:val="24"/>
    </w:rPr>
  </w:style>
  <w:style w:type="paragraph" w:styleId="Heading1">
    <w:name w:val="heading 1"/>
    <w:basedOn w:val="Normal"/>
    <w:next w:val="Normal"/>
    <w:qFormat/>
    <w:pPr>
      <w:keepNext/>
      <w:spacing w:before="480" w:after="180"/>
      <w:ind w:left="720" w:hanging="720"/>
      <w:jc w:val="center"/>
      <w:outlineLvl w:val="0"/>
    </w:pPr>
    <w:rPr>
      <w:b/>
      <w:caps/>
    </w:rPr>
  </w:style>
  <w:style w:type="paragraph" w:styleId="Heading2">
    <w:name w:val="heading 2"/>
    <w:basedOn w:val="Heading1"/>
    <w:next w:val="Normal"/>
    <w:qFormat/>
    <w:pPr>
      <w:spacing w:after="60"/>
      <w:jc w:val="both"/>
      <w:outlineLvl w:val="1"/>
    </w:pPr>
  </w:style>
  <w:style w:type="paragraph" w:styleId="Heading3">
    <w:name w:val="heading 3"/>
    <w:basedOn w:val="Normal"/>
    <w:next w:val="Normal"/>
    <w:qFormat/>
    <w:pPr>
      <w:spacing w:before="480" w:after="60"/>
      <w:ind w:left="1080" w:hanging="1080"/>
      <w:outlineLvl w:val="2"/>
    </w:pPr>
    <w:rPr>
      <w:b/>
    </w:rPr>
  </w:style>
  <w:style w:type="paragraph" w:styleId="Heading4">
    <w:name w:val="heading 4"/>
    <w:basedOn w:val="Heading3"/>
    <w:next w:val="Normal"/>
    <w:qFormat/>
    <w:pPr>
      <w:ind w:left="1440" w:hanging="1440"/>
      <w:outlineLvl w:val="3"/>
    </w:pPr>
  </w:style>
  <w:style w:type="paragraph" w:styleId="Heading5">
    <w:name w:val="heading 5"/>
    <w:basedOn w:val="Normal"/>
    <w:next w:val="Normal"/>
    <w:qFormat/>
    <w:pPr>
      <w:keepNext/>
      <w:widowControl w:val="0"/>
      <w:tabs>
        <w:tab w:val="left" w:pos="-1440"/>
        <w:tab w:val="left" w:pos="-720"/>
      </w:tabs>
      <w:suppressAutoHyphens/>
      <w:spacing w:before="0"/>
      <w:outlineLvl w:val="4"/>
    </w:pPr>
    <w:rPr>
      <w:b/>
    </w:rPr>
  </w:style>
  <w:style w:type="paragraph" w:styleId="Heading6">
    <w:name w:val="heading 6"/>
    <w:basedOn w:val="Normal"/>
    <w:next w:val="Normal"/>
    <w:qFormat/>
    <w:pPr>
      <w:keepNext/>
      <w:spacing w:before="120" w:after="120"/>
      <w:jc w:val="center"/>
      <w:outlineLvl w:val="5"/>
    </w:pPr>
    <w:rPr>
      <w:b/>
    </w:rPr>
  </w:style>
  <w:style w:type="paragraph" w:styleId="Heading7">
    <w:name w:val="heading 7"/>
    <w:basedOn w:val="Normal"/>
    <w:next w:val="Normal"/>
    <w:qFormat/>
    <w:pPr>
      <w:keepNext/>
      <w:suppressAutoHyphens/>
      <w:spacing w:before="120" w:after="120"/>
      <w:outlineLvl w:val="6"/>
    </w:pPr>
    <w:rPr>
      <w:i/>
      <w:iCs/>
      <w:sz w:val="22"/>
    </w:rPr>
  </w:style>
  <w:style w:type="paragraph" w:styleId="Heading8">
    <w:name w:val="heading 8"/>
    <w:basedOn w:val="Normal"/>
    <w:next w:val="Normal"/>
    <w:qFormat/>
    <w:pPr>
      <w:keepNext/>
      <w:suppressAutoHyphens/>
      <w:spacing w:before="120" w:after="120"/>
      <w:outlineLvl w:val="7"/>
    </w:pPr>
    <w:rPr>
      <w:b/>
      <w:bCs/>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numPr>
        <w:numId w:val="2"/>
      </w:numPr>
    </w:pPr>
  </w:style>
  <w:style w:type="paragraph" w:customStyle="1" w:styleId="BulletTable">
    <w:name w:val="Bullet Table"/>
    <w:basedOn w:val="Normal"/>
    <w:pPr>
      <w:numPr>
        <w:numId w:val="3"/>
      </w:numPr>
      <w:spacing w:before="0"/>
    </w:p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right" w:pos="8640"/>
      </w:tabs>
      <w:spacing w:before="0"/>
    </w:pPr>
    <w:rPr>
      <w:sz w:val="20"/>
    </w:rPr>
  </w:style>
  <w:style w:type="paragraph" w:customStyle="1" w:styleId="Indent">
    <w:name w:val="Indent"/>
    <w:basedOn w:val="Normal"/>
    <w:pPr>
      <w:ind w:left="720" w:right="720"/>
    </w:pPr>
  </w:style>
  <w:style w:type="paragraph" w:customStyle="1" w:styleId="IndentBullet">
    <w:name w:val="Indent Bullet"/>
    <w:basedOn w:val="Normal"/>
    <w:pPr>
      <w:numPr>
        <w:numId w:val="4"/>
      </w:numPr>
      <w:tabs>
        <w:tab w:val="clear" w:pos="0"/>
      </w:tabs>
      <w:ind w:right="720"/>
    </w:pPr>
  </w:style>
  <w:style w:type="paragraph" w:customStyle="1" w:styleId="IndentBulletTable">
    <w:name w:val="Indent Bullet Table"/>
    <w:basedOn w:val="Normal"/>
    <w:pPr>
      <w:numPr>
        <w:numId w:val="5"/>
      </w:numPr>
      <w:spacing w:before="0"/>
      <w:ind w:right="720"/>
    </w:pPr>
  </w:style>
  <w:style w:type="paragraph" w:customStyle="1" w:styleId="IndentTable">
    <w:name w:val="Indent Table"/>
    <w:basedOn w:val="Indent"/>
    <w:pPr>
      <w:tabs>
        <w:tab w:val="left" w:pos="2160"/>
      </w:tabs>
      <w:spacing w:before="0"/>
      <w:ind w:left="2160" w:right="0"/>
    </w:pPr>
  </w:style>
  <w:style w:type="paragraph" w:customStyle="1" w:styleId="Shaded">
    <w:name w:val="Shaded"/>
    <w:basedOn w:val="Normal"/>
    <w:pPr>
      <w:shd w:val="pct20" w:color="auto" w:fill="auto"/>
    </w:pPr>
  </w:style>
  <w:style w:type="paragraph" w:customStyle="1" w:styleId="ShadedRightBlock">
    <w:name w:val="Shaded Right Block"/>
    <w:basedOn w:val="Normal"/>
    <w:pPr>
      <w:framePr w:w="4320" w:h="1440" w:hSpace="187" w:vSpace="187" w:wrap="auto" w:vAnchor="text" w:hAnchor="margin" w:xAlign="right" w:y="491" w:anchorLock="1"/>
      <w:pBdr>
        <w:top w:val="double" w:sz="6" w:space="3" w:color="auto" w:shadow="1"/>
        <w:left w:val="double" w:sz="6" w:space="3" w:color="auto" w:shadow="1"/>
        <w:bottom w:val="double" w:sz="6" w:space="3" w:color="auto" w:shadow="1"/>
        <w:right w:val="double" w:sz="6" w:space="3" w:color="auto" w:shadow="1"/>
      </w:pBdr>
      <w:shd w:val="pct20" w:color="auto" w:fill="auto"/>
      <w:spacing w:before="0"/>
    </w:pPr>
  </w:style>
  <w:style w:type="paragraph" w:customStyle="1" w:styleId="ShadedLeftBlock">
    <w:name w:val="Shaded Left Block"/>
    <w:basedOn w:val="ShadedRightBlock"/>
    <w:pPr>
      <w:framePr w:wrap="auto" w:xAlign="left"/>
    </w:pPr>
  </w:style>
  <w:style w:type="paragraph" w:customStyle="1" w:styleId="ShadedwBorder">
    <w:name w:val="Shaded w/Border"/>
    <w:basedOn w:val="Normal"/>
    <w:pPr>
      <w:pBdr>
        <w:top w:val="double" w:sz="6" w:space="3" w:color="auto" w:shadow="1"/>
        <w:left w:val="double" w:sz="6" w:space="3" w:color="auto" w:shadow="1"/>
        <w:bottom w:val="double" w:sz="6" w:space="3" w:color="auto" w:shadow="1"/>
        <w:right w:val="double" w:sz="6" w:space="3" w:color="auto" w:shadow="1"/>
      </w:pBdr>
      <w:shd w:val="pct20" w:color="auto" w:fill="auto"/>
    </w:pPr>
  </w:style>
  <w:style w:type="paragraph" w:customStyle="1" w:styleId="Table">
    <w:name w:val="Table"/>
    <w:basedOn w:val="Normal"/>
    <w:pPr>
      <w:spacing w:before="0"/>
    </w:pPr>
  </w:style>
  <w:style w:type="paragraph" w:styleId="TOC1">
    <w:name w:val="toc 1"/>
    <w:basedOn w:val="Normal"/>
    <w:next w:val="Normal"/>
    <w:autoRedefine/>
    <w:semiHidden/>
    <w:pPr>
      <w:tabs>
        <w:tab w:val="left" w:leader="dot" w:pos="8280"/>
        <w:tab w:val="right" w:pos="8640"/>
      </w:tabs>
      <w:spacing w:before="120" w:after="120" w:line="260" w:lineRule="exact"/>
      <w:ind w:right="720"/>
      <w:jc w:val="left"/>
    </w:pPr>
    <w:rPr>
      <w:rFonts w:ascii="CG Times" w:hAnsi="CG Times"/>
    </w:rPr>
  </w:style>
  <w:style w:type="paragraph" w:styleId="TOC2">
    <w:name w:val="toc 2"/>
    <w:basedOn w:val="Normal"/>
    <w:next w:val="Normal"/>
    <w:autoRedefine/>
    <w:semiHidden/>
    <w:pPr>
      <w:tabs>
        <w:tab w:val="left" w:leader="dot" w:pos="8280"/>
        <w:tab w:val="right" w:pos="8640"/>
      </w:tabs>
      <w:spacing w:before="120" w:after="120" w:line="260" w:lineRule="exact"/>
      <w:ind w:left="1080" w:right="720" w:hanging="720"/>
      <w:jc w:val="left"/>
    </w:pPr>
    <w:rPr>
      <w:rFonts w:ascii="CG Times" w:hAnsi="CG Times"/>
      <w:noProof/>
    </w:rPr>
  </w:style>
  <w:style w:type="paragraph" w:styleId="TOC3">
    <w:name w:val="toc 3"/>
    <w:basedOn w:val="Normal"/>
    <w:next w:val="Normal"/>
    <w:autoRedefine/>
    <w:semiHidden/>
    <w:pPr>
      <w:tabs>
        <w:tab w:val="left" w:leader="dot" w:pos="8280"/>
        <w:tab w:val="right" w:pos="8640"/>
      </w:tabs>
      <w:spacing w:before="120" w:after="120" w:line="260" w:lineRule="exact"/>
      <w:ind w:left="720" w:right="720"/>
      <w:jc w:val="left"/>
    </w:pPr>
    <w:rPr>
      <w:rFonts w:ascii="CG Times" w:hAnsi="CG Times"/>
      <w:noProof/>
    </w:rPr>
  </w:style>
  <w:style w:type="paragraph" w:styleId="TOC4">
    <w:name w:val="toc 4"/>
    <w:basedOn w:val="Normal"/>
    <w:next w:val="Normal"/>
    <w:autoRedefine/>
    <w:semiHidden/>
    <w:pPr>
      <w:tabs>
        <w:tab w:val="right" w:leader="dot" w:pos="8640"/>
      </w:tabs>
      <w:ind w:left="720"/>
    </w:pPr>
  </w:style>
  <w:style w:type="paragraph" w:styleId="TOC5">
    <w:name w:val="toc 5"/>
    <w:basedOn w:val="Normal"/>
    <w:next w:val="Normal"/>
    <w:autoRedefine/>
    <w:semiHidden/>
    <w:pPr>
      <w:tabs>
        <w:tab w:val="right" w:leader="dot" w:pos="8640"/>
      </w:tabs>
      <w:ind w:left="960"/>
    </w:pPr>
  </w:style>
  <w:style w:type="paragraph" w:styleId="TOC6">
    <w:name w:val="toc 6"/>
    <w:basedOn w:val="Normal"/>
    <w:next w:val="Normal"/>
    <w:autoRedefine/>
    <w:semiHidden/>
    <w:pPr>
      <w:tabs>
        <w:tab w:val="right" w:leader="dot" w:pos="8640"/>
      </w:tabs>
      <w:ind w:left="1200"/>
    </w:pPr>
  </w:style>
  <w:style w:type="paragraph" w:styleId="TOC7">
    <w:name w:val="toc 7"/>
    <w:basedOn w:val="Normal"/>
    <w:next w:val="Normal"/>
    <w:autoRedefine/>
    <w:semiHidden/>
    <w:pPr>
      <w:tabs>
        <w:tab w:val="right" w:leader="dot" w:pos="8640"/>
      </w:tabs>
      <w:ind w:left="1440"/>
    </w:pPr>
  </w:style>
  <w:style w:type="paragraph" w:styleId="TOC8">
    <w:name w:val="toc 8"/>
    <w:basedOn w:val="Normal"/>
    <w:next w:val="Normal"/>
    <w:autoRedefine/>
    <w:semiHidden/>
    <w:pPr>
      <w:tabs>
        <w:tab w:val="right" w:leader="dot" w:pos="8640"/>
      </w:tabs>
      <w:ind w:left="1680"/>
    </w:pPr>
  </w:style>
  <w:style w:type="paragraph" w:styleId="TOC9">
    <w:name w:val="toc 9"/>
    <w:basedOn w:val="Normal"/>
    <w:next w:val="Normal"/>
    <w:autoRedefine/>
    <w:semiHidden/>
    <w:pPr>
      <w:tabs>
        <w:tab w:val="right" w:leader="dot" w:pos="8640"/>
      </w:tabs>
      <w:ind w:left="1920"/>
    </w:pPr>
  </w:style>
  <w:style w:type="paragraph" w:customStyle="1" w:styleId="TOCRBK">
    <w:name w:val="TOC RBK"/>
    <w:basedOn w:val="Normal"/>
    <w:pPr>
      <w:tabs>
        <w:tab w:val="left" w:pos="720"/>
        <w:tab w:val="right" w:leader="dot" w:pos="8640"/>
      </w:tabs>
      <w:ind w:right="720"/>
    </w:pPr>
    <w:rPr>
      <w:noProof/>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character" w:styleId="PageNumber">
    <w:name w:val="page number"/>
    <w:basedOn w:val="DefaultParagraphFont"/>
    <w:semiHidden/>
  </w:style>
  <w:style w:type="paragraph" w:styleId="Title">
    <w:name w:val="Title"/>
    <w:basedOn w:val="Normal"/>
    <w:qFormat/>
    <w:pPr>
      <w:jc w:val="center"/>
    </w:pPr>
    <w:rPr>
      <w:b/>
    </w:rPr>
  </w:style>
  <w:style w:type="paragraph" w:styleId="BodyText">
    <w:name w:val="Body Text"/>
    <w:basedOn w:val="Normal"/>
    <w:semiHidde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rPr>
      <w:sz w:val="22"/>
    </w:rPr>
  </w:style>
  <w:style w:type="paragraph" w:styleId="BodyText3">
    <w:name w:val="Body Text 3"/>
    <w:basedOn w:val="Normal"/>
    <w:semiHidden/>
    <w:pPr>
      <w:widowControl w:val="0"/>
      <w:spacing w:before="0"/>
    </w:pPr>
    <w:rPr>
      <w:color w:val="0000FF"/>
    </w:rPr>
  </w:style>
  <w:style w:type="paragraph" w:styleId="BodyText2">
    <w:name w:val="Body Text 2"/>
    <w:basedOn w:val="Normal"/>
    <w:semiHidden/>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34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3FCC8-19EB-40B5-B86C-EDA4FEBB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6</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Rio Rancho Modeling Protocol</vt:lpstr>
    </vt:vector>
  </TitlesOfParts>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Rio Rancho Modeling Protocol</dc:title>
  <dc:subject/>
  <dc:creator>Walter Konkel</dc:creator>
  <cp:keywords/>
  <dc:description/>
  <cp:lastModifiedBy>James Newby</cp:lastModifiedBy>
  <cp:revision>10</cp:revision>
  <cp:lastPrinted>2015-09-17T15:45:00Z</cp:lastPrinted>
  <dcterms:created xsi:type="dcterms:W3CDTF">2018-01-30T23:01:00Z</dcterms:created>
  <dcterms:modified xsi:type="dcterms:W3CDTF">2018-02-12T16:42:00Z</dcterms:modified>
</cp:coreProperties>
</file>