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F0E5" w14:textId="77777777" w:rsidR="00693DED" w:rsidRDefault="00693DED" w:rsidP="00F335A2">
      <w:pPr>
        <w:spacing w:line="240" w:lineRule="exact"/>
        <w:jc w:val="center"/>
        <w:rPr>
          <w:b/>
        </w:rPr>
      </w:pPr>
      <w:bookmarkStart w:id="0" w:name="_Toc229187460"/>
      <w:bookmarkStart w:id="1" w:name="_GoBack"/>
      <w:bookmarkEnd w:id="1"/>
      <w:r>
        <w:rPr>
          <w:b/>
        </w:rPr>
        <w:t>NEW MEXICO AIR QUALITY BUREAU</w:t>
      </w:r>
    </w:p>
    <w:p w14:paraId="17E959AF" w14:textId="77777777" w:rsidR="007A432B" w:rsidRDefault="00C11C79" w:rsidP="00F335A2">
      <w:pPr>
        <w:spacing w:line="240" w:lineRule="exact"/>
        <w:jc w:val="center"/>
        <w:rPr>
          <w:b/>
        </w:rPr>
      </w:pPr>
      <w:r>
        <w:rPr>
          <w:noProof/>
        </w:rPr>
        <mc:AlternateContent>
          <mc:Choice Requires="wps">
            <w:drawing>
              <wp:anchor distT="0" distB="0" distL="114300" distR="114300" simplePos="0" relativeHeight="251657728" behindDoc="0" locked="0" layoutInCell="1" allowOverlap="1" wp14:anchorId="73C28428" wp14:editId="0854D870">
                <wp:simplePos x="0" y="0"/>
                <wp:positionH relativeFrom="column">
                  <wp:posOffset>-1676400</wp:posOffset>
                </wp:positionH>
                <wp:positionV relativeFrom="paragraph">
                  <wp:posOffset>-9144000</wp:posOffset>
                </wp:positionV>
                <wp:extent cx="10515600" cy="77724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0" cy="777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6234" id="Rectangle 2" o:spid="_x0000_s1026" style="position:absolute;margin-left:-132pt;margin-top:-10in;width:828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vIQIAAD4EAAAOAAAAZHJzL2Uyb0RvYy54bWysU9tuEzEQfUfiHyy/k70oadpVNlWVEoRU&#10;oKLwAROvN2vhtc3YySZ8PWNvGlLgCeEHy+MZH8+cM7O4PfSa7SV6ZU3Ni0nOmTTCNspsa/71y/rN&#10;NWc+gGlAWyNrfpSe3y5fv1oMrpKl7axuJDICMb4aXM27EFyVZV50sgc/sU4acrYWewhk4jZrEAZC&#10;73VW5vlVNlhsHFohvafb+9HJlwm/baUIn9rWy8B0zSm3kHZM+ybu2XIB1RbBdUqc0oB/yKIHZejT&#10;M9Q9BGA7VH9A9Uqg9bYNE2H7zLatEjLVQNUU+W/VPHXgZKqFyPHuTJP/f7Di4/4RmWpIO84M9CTR&#10;ZyINzFZLVkZ6BucrinpyjxgL9O7Bim+eGbvqKEreIdqhk9BQUkWMz148iIanp2wzfLANocMu2MTU&#10;ocU+AhIH7JAEOZ4FkYfABF0W+ayYXeUknCDnfD4vp2TET6B6fu/Qh3fS9iweao6UfcKH/YMPY+hz&#10;SMrfatWsldbJwO1mpZHtgdpjndYJ3V+GacOGmt/MyllCfuHzlxB5Wn+D6FWgPteqr/n1OQiqSNxb&#10;01CaUAVQejxTddqcmIzkjSJsbHMkItGOTUxDR4fO4g/OBmrgmvvvO0DJmX5vSIybYjqNHZ+M6Wxe&#10;koGXns2lB4wgqJoHzsbjKoxTsnOoth39VKTajb0jAVuVmI3ijlmdkqUmTdqcBipOwaWdon6N/fIn&#10;AAAA//8DAFBLAwQUAAYACAAAACEAwBKxiOEAAAAQAQAADwAAAGRycy9kb3ducmV2LnhtbEyPwW6D&#10;MBBE75X6D9ZW6i2xIQg1FBNVrVKpx4RcejPYAVK8RtgktF/f5dTe3mpGszP5brY9u5rRdw4lRGsB&#10;zGDtdIeNhFO5Xz0B80GhVr1DI+HbeNgV93e5yrS74cFcj6FhFII+UxLaEIaMc1+3xiq/doNB0s5u&#10;tCrQOTZcj+pG4bbnsRApt6pD+tCqwby2pv46TlZC1cUn9XMo34Xd7jfhYy4v0+eblI8P88szsGDm&#10;8GeGpT5Vh4I6VW5C7VkvYRWnCY0JRFGSCMLFtNnGRNUiR6kAXuT8/5DiFwAA//8DAFBLAQItABQA&#10;BgAIAAAAIQC2gziS/gAAAOEBAAATAAAAAAAAAAAAAAAAAAAAAABbQ29udGVudF9UeXBlc10ueG1s&#10;UEsBAi0AFAAGAAgAAAAhADj9If/WAAAAlAEAAAsAAAAAAAAAAAAAAAAALwEAAF9yZWxzLy5yZWxz&#10;UEsBAi0AFAAGAAgAAAAhAKJ3+a8hAgAAPgQAAA4AAAAAAAAAAAAAAAAALgIAAGRycy9lMm9Eb2Mu&#10;eG1sUEsBAi0AFAAGAAgAAAAhAMASsYjhAAAAEAEAAA8AAAAAAAAAAAAAAAAAewQAAGRycy9kb3du&#10;cmV2LnhtbFBLBQYAAAAABAAEAPMAAACJBQAAAAA=&#10;"/>
            </w:pict>
          </mc:Fallback>
        </mc:AlternateContent>
      </w:r>
      <w:r w:rsidR="007A432B">
        <w:rPr>
          <w:b/>
        </w:rPr>
        <w:t xml:space="preserve">NSR &amp; TV: IC ENGINES MONITORING PROTOCOL – </w:t>
      </w:r>
    </w:p>
    <w:p w14:paraId="6E2255E7" w14:textId="77777777" w:rsidR="007A432B" w:rsidRDefault="007A432B" w:rsidP="00F335A2">
      <w:pPr>
        <w:spacing w:line="240" w:lineRule="exact"/>
        <w:jc w:val="center"/>
        <w:rPr>
          <w:b/>
        </w:rPr>
      </w:pPr>
      <w:r>
        <w:rPr>
          <w:b/>
        </w:rPr>
        <w:t>PERMIT TEMPLATE LANGUAGE</w:t>
      </w:r>
    </w:p>
    <w:p w14:paraId="36467C20" w14:textId="7C2AB8C7" w:rsidR="007A432B" w:rsidRDefault="007A432B" w:rsidP="00F335A2">
      <w:pPr>
        <w:spacing w:line="240" w:lineRule="exact"/>
        <w:jc w:val="center"/>
        <w:rPr>
          <w:b/>
        </w:rPr>
      </w:pPr>
      <w:r>
        <w:rPr>
          <w:b/>
        </w:rPr>
        <w:t xml:space="preserve">Version: </w:t>
      </w:r>
      <w:r w:rsidR="0007343C">
        <w:rPr>
          <w:b/>
        </w:rPr>
        <w:t xml:space="preserve"> </w:t>
      </w:r>
      <w:r w:rsidR="0090607D">
        <w:rPr>
          <w:b/>
        </w:rPr>
        <w:t>May 2</w:t>
      </w:r>
      <w:r w:rsidR="00765AA1">
        <w:rPr>
          <w:b/>
        </w:rPr>
        <w:t>3</w:t>
      </w:r>
      <w:r w:rsidR="0090607D">
        <w:rPr>
          <w:b/>
        </w:rPr>
        <w:t>, 2016</w:t>
      </w:r>
    </w:p>
    <w:p w14:paraId="49149F2E" w14:textId="77777777" w:rsidR="007A432B" w:rsidRDefault="007A432B" w:rsidP="00F335A2">
      <w:pPr>
        <w:spacing w:line="240" w:lineRule="exact"/>
      </w:pPr>
    </w:p>
    <w:p w14:paraId="372B9375" w14:textId="77777777" w:rsidR="007A432B" w:rsidRDefault="007A432B" w:rsidP="00F335A2">
      <w:pPr>
        <w:spacing w:line="240" w:lineRule="exact"/>
      </w:pPr>
      <w:r>
        <w:rPr>
          <w:u w:val="single"/>
        </w:rPr>
        <w:t>Purpose.</w:t>
      </w:r>
      <w:r>
        <w:t xml:space="preserve">  These guidelines are intended to help permit specialists include adequate monitoring conditions into construction or operating permits in accordance with 20.2.72.210 NMAC or 20.2.70.302 NMAC. These guidelines also help ensure consistency in monitoring conditions for all permits regardless of which permit specialist is assigned the permit. </w:t>
      </w:r>
    </w:p>
    <w:p w14:paraId="1DC4D0FD" w14:textId="77777777" w:rsidR="007A432B" w:rsidRDefault="007A432B" w:rsidP="00F335A2">
      <w:pPr>
        <w:spacing w:line="240" w:lineRule="exact"/>
      </w:pPr>
    </w:p>
    <w:p w14:paraId="22923974" w14:textId="77777777" w:rsidR="007A432B" w:rsidRDefault="007A432B" w:rsidP="00F335A2">
      <w:pPr>
        <w:spacing w:line="240" w:lineRule="exact"/>
      </w:pPr>
      <w:r>
        <w:t xml:space="preserve">All IC engines are combustion devices subject to 20.2.61 NMAC and opacity monitoring, unless they qualify for the exemption under 20.2.61.109 NMAC (see permit template for opacity language). </w:t>
      </w:r>
    </w:p>
    <w:p w14:paraId="5EB2CBD0" w14:textId="77777777" w:rsidR="007A432B" w:rsidRDefault="007A432B" w:rsidP="00F335A2">
      <w:pPr>
        <w:spacing w:line="240" w:lineRule="exact"/>
      </w:pPr>
    </w:p>
    <w:p w14:paraId="0C41DF01" w14:textId="2B8B2102" w:rsidR="007A432B" w:rsidRDefault="007A432B" w:rsidP="00F335A2">
      <w:pPr>
        <w:spacing w:line="240" w:lineRule="exact"/>
        <w:rPr>
          <w:b/>
          <w:bCs/>
        </w:rPr>
      </w:pPr>
      <w:r>
        <w:rPr>
          <w:b/>
          <w:bCs/>
        </w:rPr>
        <w:t>NOTE:</w:t>
      </w:r>
      <w:r>
        <w:t xml:space="preserve"> </w:t>
      </w:r>
      <w:r>
        <w:rPr>
          <w:b/>
          <w:bCs/>
        </w:rPr>
        <w:t xml:space="preserve">If the affected unit is subject to 40 CFR 64, CAM Rule, the AQB standard conditions may not apply. </w:t>
      </w:r>
    </w:p>
    <w:p w14:paraId="5614E72E" w14:textId="77777777" w:rsidR="007A432B" w:rsidRDefault="007A432B" w:rsidP="00F335A2">
      <w:pPr>
        <w:spacing w:line="240" w:lineRule="exact"/>
      </w:pPr>
    </w:p>
    <w:p w14:paraId="7AF5A3ED" w14:textId="77777777" w:rsidR="007A432B" w:rsidRDefault="007A432B" w:rsidP="00F335A2">
      <w:pPr>
        <w:pStyle w:val="Title"/>
        <w:jc w:val="left"/>
        <w:rPr>
          <w:color w:val="FF0000"/>
          <w:u w:val="none"/>
        </w:rPr>
      </w:pPr>
      <w:r>
        <w:rPr>
          <w:color w:val="FF0000"/>
          <w:u w:val="none"/>
        </w:rPr>
        <w:t>[NOTE: Each permit writer shall review, select, and adjust the requirements below according to the specific facility circumstances.]</w:t>
      </w:r>
    </w:p>
    <w:p w14:paraId="3C9EC198" w14:textId="77777777" w:rsidR="00B6429C" w:rsidRDefault="00B6429C" w:rsidP="00F335A2">
      <w:pPr>
        <w:pStyle w:val="Title"/>
        <w:jc w:val="left"/>
        <w:rPr>
          <w:color w:val="FF0000"/>
          <w:u w:val="none"/>
        </w:rPr>
      </w:pPr>
    </w:p>
    <w:p w14:paraId="3175BFDB" w14:textId="71388B65" w:rsidR="00B6429C" w:rsidRPr="002231CC" w:rsidRDefault="00B6429C" w:rsidP="00F335A2">
      <w:pPr>
        <w:pStyle w:val="Title"/>
        <w:jc w:val="left"/>
        <w:rPr>
          <w:b w:val="0"/>
          <w:color w:val="FF0000"/>
          <w:u w:val="none"/>
        </w:rPr>
      </w:pPr>
      <w:r>
        <w:rPr>
          <w:color w:val="FF0000"/>
          <w:u w:val="none"/>
        </w:rPr>
        <w:t xml:space="preserve">NOTE: </w:t>
      </w:r>
      <w:r w:rsidRPr="00FE0087">
        <w:rPr>
          <w:color w:val="FF0000"/>
          <w:u w:val="none"/>
        </w:rPr>
        <w:t>E</w:t>
      </w:r>
      <w:r w:rsidR="009E6D0F" w:rsidRPr="00FE0087">
        <w:rPr>
          <w:color w:val="FF0000"/>
          <w:u w:val="none"/>
        </w:rPr>
        <w:t>XTERRAN – Engine Integrated Control System</w:t>
      </w:r>
      <w:r w:rsidR="00FE0087" w:rsidRPr="00FE0087">
        <w:rPr>
          <w:color w:val="FF0000"/>
          <w:u w:val="none"/>
        </w:rPr>
        <w:t xml:space="preserve"> (EICS)</w:t>
      </w:r>
      <w:r w:rsidR="009E6D0F" w:rsidRPr="00FE0087">
        <w:rPr>
          <w:color w:val="FF0000"/>
          <w:u w:val="none"/>
        </w:rPr>
        <w:t>:</w:t>
      </w:r>
      <w:r w:rsidR="009E6D0F" w:rsidRPr="009E6D0F">
        <w:rPr>
          <w:b w:val="0"/>
          <w:color w:val="FF0000"/>
          <w:u w:val="none"/>
        </w:rPr>
        <w:t xml:space="preserve"> </w:t>
      </w:r>
      <w:r w:rsidR="00FE0087" w:rsidRPr="002231CC">
        <w:rPr>
          <w:b w:val="0"/>
          <w:color w:val="FF0000"/>
        </w:rPr>
        <w:t xml:space="preserve">It is important that the permit identify that this </w:t>
      </w:r>
      <w:r w:rsidR="0075341B">
        <w:rPr>
          <w:b w:val="0"/>
          <w:color w:val="FF0000"/>
        </w:rPr>
        <w:t xml:space="preserve">particular </w:t>
      </w:r>
      <w:r w:rsidR="00FE0087" w:rsidRPr="002231CC">
        <w:rPr>
          <w:b w:val="0"/>
          <w:color w:val="FF0000"/>
        </w:rPr>
        <w:t>control device is installed on an engine so that an enforcement inspector knows to check if the control device is installed.</w:t>
      </w:r>
      <w:r w:rsidR="00FE0087">
        <w:rPr>
          <w:b w:val="0"/>
          <w:color w:val="FF0000"/>
          <w:u w:val="none"/>
        </w:rPr>
        <w:t xml:space="preserve">  </w:t>
      </w:r>
      <w:r w:rsidR="009E6D0F" w:rsidRPr="002231CC">
        <w:rPr>
          <w:b w:val="0"/>
          <w:u w:val="none"/>
        </w:rPr>
        <w:t xml:space="preserve">This </w:t>
      </w:r>
      <w:r w:rsidR="00FE0087" w:rsidRPr="002231CC">
        <w:rPr>
          <w:b w:val="0"/>
          <w:u w:val="none"/>
        </w:rPr>
        <w:t xml:space="preserve">is an engine </w:t>
      </w:r>
      <w:r w:rsidR="009E6D0F" w:rsidRPr="002231CC">
        <w:rPr>
          <w:b w:val="0"/>
          <w:u w:val="none"/>
        </w:rPr>
        <w:t xml:space="preserve">emissions control device that </w:t>
      </w:r>
      <w:r w:rsidR="00FE0087" w:rsidRPr="002231CC">
        <w:rPr>
          <w:b w:val="0"/>
          <w:u w:val="none"/>
        </w:rPr>
        <w:t xml:space="preserve">will automatically shut down an engine if emission limits are exceeded. </w:t>
      </w:r>
      <w:r w:rsidR="009E6D0F" w:rsidRPr="002231CC">
        <w:rPr>
          <w:b w:val="0"/>
          <w:u w:val="none"/>
        </w:rPr>
        <w:t>The department has determined that this control devi</w:t>
      </w:r>
      <w:r w:rsidR="00FE0087" w:rsidRPr="002231CC">
        <w:rPr>
          <w:b w:val="0"/>
          <w:u w:val="none"/>
        </w:rPr>
        <w:t>ce is part of the engine</w:t>
      </w:r>
      <w:r w:rsidR="00EC46AF" w:rsidRPr="002231CC">
        <w:rPr>
          <w:b w:val="0"/>
          <w:u w:val="none"/>
        </w:rPr>
        <w:t>’</w:t>
      </w:r>
      <w:r w:rsidR="00FE0087" w:rsidRPr="002231CC">
        <w:rPr>
          <w:b w:val="0"/>
          <w:u w:val="none"/>
        </w:rPr>
        <w:t xml:space="preserve">s “physical and operational </w:t>
      </w:r>
      <w:r w:rsidR="009E6D0F" w:rsidRPr="002231CC">
        <w:rPr>
          <w:b w:val="0"/>
          <w:u w:val="none"/>
        </w:rPr>
        <w:t>design</w:t>
      </w:r>
      <w:r w:rsidR="00FE0087" w:rsidRPr="002231CC">
        <w:rPr>
          <w:b w:val="0"/>
          <w:u w:val="none"/>
        </w:rPr>
        <w:t>” with regard to the definitions of PER and PTE</w:t>
      </w:r>
      <w:r w:rsidR="00C93DC1" w:rsidRPr="002231CC">
        <w:rPr>
          <w:b w:val="0"/>
          <w:u w:val="none"/>
        </w:rPr>
        <w:t xml:space="preserve"> as applied to permitting, not </w:t>
      </w:r>
      <w:r w:rsidR="00F724C3" w:rsidRPr="002231CC">
        <w:rPr>
          <w:b w:val="0"/>
          <w:u w:val="none"/>
        </w:rPr>
        <w:t xml:space="preserve">as applied </w:t>
      </w:r>
      <w:r w:rsidR="00C93DC1" w:rsidRPr="002231CC">
        <w:rPr>
          <w:b w:val="0"/>
          <w:u w:val="none"/>
        </w:rPr>
        <w:t>to NSPS/NESHAP</w:t>
      </w:r>
      <w:r w:rsidR="00FE0087" w:rsidRPr="002231CC">
        <w:rPr>
          <w:b w:val="0"/>
          <w:u w:val="none"/>
        </w:rPr>
        <w:t>.</w:t>
      </w:r>
      <w:r w:rsidR="00F47F4A">
        <w:rPr>
          <w:u w:val="none"/>
        </w:rPr>
        <w:t xml:space="preserve">  </w:t>
      </w:r>
      <w:r w:rsidR="00EC46AF" w:rsidRPr="002231CC">
        <w:rPr>
          <w:b w:val="0"/>
          <w:u w:val="none"/>
        </w:rPr>
        <w:t xml:space="preserve">We may adjust the monitoring requirements for engines with this control device once we have experience in verifying that the control system performs as represented.  </w:t>
      </w:r>
      <w:r w:rsidR="00957C0C" w:rsidRPr="002231CC">
        <w:rPr>
          <w:b w:val="0"/>
          <w:u w:val="none"/>
        </w:rPr>
        <w:t xml:space="preserve">For more information, see the presentation in aurora at: </w:t>
      </w:r>
      <w:hyperlink r:id="rId7" w:history="1">
        <w:r w:rsidR="00957C0C" w:rsidRPr="002231CC">
          <w:rPr>
            <w:rStyle w:val="Hyperlink"/>
            <w:b w:val="0"/>
            <w:color w:val="auto"/>
          </w:rPr>
          <w:t>P:\AQB-Permits-Section\NSR-TV-Common\Permitting-Guidance-Documents\Engines\Exterran Engine Integrated Control System</w:t>
        </w:r>
      </w:hyperlink>
      <w:r w:rsidR="00056DE1">
        <w:rPr>
          <w:rStyle w:val="Hyperlink"/>
          <w:b w:val="0"/>
          <w:color w:val="auto"/>
        </w:rPr>
        <w:t>.</w:t>
      </w:r>
    </w:p>
    <w:p w14:paraId="0D4E1405" w14:textId="77777777" w:rsidR="007A432B" w:rsidRDefault="007A432B" w:rsidP="00F335A2">
      <w:pPr>
        <w:pStyle w:val="Heading2"/>
        <w:keepLines w:val="0"/>
        <w:numPr>
          <w:ilvl w:val="0"/>
          <w:numId w:val="0"/>
        </w:numPr>
        <w:spacing w:before="360"/>
      </w:pPr>
      <w:bookmarkStart w:id="2" w:name="_Toc229187461"/>
      <w:bookmarkEnd w:id="0"/>
      <w:r w:rsidRPr="00F335A2">
        <w:rPr>
          <w:rFonts w:ascii="Times New Roman" w:hAnsi="Times New Roman"/>
          <w:bCs w:val="0"/>
          <w:color w:val="auto"/>
          <w:sz w:val="24"/>
          <w:szCs w:val="20"/>
          <w:u w:val="single"/>
        </w:rPr>
        <w:t>Engines</w:t>
      </w:r>
      <w:bookmarkEnd w:id="2"/>
    </w:p>
    <w:p w14:paraId="0762C708" w14:textId="77777777" w:rsidR="007A432B" w:rsidRPr="00FA562D" w:rsidRDefault="007A432B" w:rsidP="007058F5">
      <w:pPr>
        <w:pStyle w:val="AQBCLvl-1"/>
        <w:numPr>
          <w:ilvl w:val="0"/>
          <w:numId w:val="2"/>
        </w:numPr>
        <w:spacing w:before="240"/>
        <w:ind w:left="1123"/>
      </w:pPr>
      <w:r>
        <w:t xml:space="preserve">Maintenance and Repair Monitoring (Unit(s) </w:t>
      </w:r>
      <w:r w:rsidRPr="008311A6">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rsidRPr="00FA562D" w14:paraId="3160B2CD" w14:textId="77777777" w:rsidTr="00377678">
        <w:trPr>
          <w:jc w:val="center"/>
        </w:trPr>
        <w:tc>
          <w:tcPr>
            <w:tcW w:w="9360" w:type="dxa"/>
          </w:tcPr>
          <w:p w14:paraId="737A2EC2" w14:textId="77777777" w:rsidR="007A432B" w:rsidRPr="00FA562D" w:rsidRDefault="007A432B" w:rsidP="000C1006">
            <w:pPr>
              <w:spacing w:before="120"/>
            </w:pPr>
            <w:r w:rsidRPr="00FA562D">
              <w:rPr>
                <w:b/>
              </w:rPr>
              <w:t xml:space="preserve">Requirement: </w:t>
            </w:r>
            <w:r w:rsidR="00232938">
              <w:t>Compliance with the allowable emission limits in Table 106.A shall be demonstrated by properly maintaining and repairing the units.</w:t>
            </w:r>
          </w:p>
        </w:tc>
      </w:tr>
      <w:tr w:rsidR="007A432B" w:rsidRPr="00FA562D" w14:paraId="11ACCF36" w14:textId="77777777" w:rsidTr="00377678">
        <w:trPr>
          <w:jc w:val="center"/>
        </w:trPr>
        <w:tc>
          <w:tcPr>
            <w:tcW w:w="9360" w:type="dxa"/>
          </w:tcPr>
          <w:p w14:paraId="65B832B8" w14:textId="6973E6B8" w:rsidR="007A432B" w:rsidRDefault="007A432B" w:rsidP="000C1006">
            <w:pPr>
              <w:tabs>
                <w:tab w:val="left" w:pos="-720"/>
              </w:tabs>
              <w:spacing w:before="120"/>
            </w:pPr>
            <w:r w:rsidRPr="00FA562D">
              <w:rPr>
                <w:b/>
              </w:rPr>
              <w:t>Monitoring:</w:t>
            </w:r>
            <w:r w:rsidRPr="00FA562D">
              <w:t xml:space="preserve"> </w:t>
            </w:r>
            <w:r w:rsidRPr="00EB28B7">
              <w:t>Maintenance and repair shall meet the minimum manufacturer's or permittee's recommended maintenance schedule.</w:t>
            </w:r>
            <w:r w:rsidR="00F47F4A">
              <w:t xml:space="preserve"> </w:t>
            </w:r>
            <w:r>
              <w:t xml:space="preserve"> </w:t>
            </w:r>
            <w:r w:rsidR="00F6789A">
              <w:t>A</w:t>
            </w:r>
            <w:r>
              <w:t xml:space="preserve">ctivities that involve </w:t>
            </w:r>
            <w:r w:rsidR="00F6789A">
              <w:t xml:space="preserve">maintenance, </w:t>
            </w:r>
            <w:r>
              <w:t>adjustment, replacement, or repair of functional components with the potential to affect the operation of an emission unit shall be documented as they occur for the following events:</w:t>
            </w:r>
          </w:p>
          <w:p w14:paraId="667EAB49" w14:textId="77777777" w:rsidR="007A432B" w:rsidRDefault="007A432B" w:rsidP="000C1006">
            <w:pPr>
              <w:tabs>
                <w:tab w:val="left" w:pos="-720"/>
              </w:tabs>
              <w:spacing w:before="120"/>
              <w:ind w:left="12"/>
            </w:pPr>
            <w:r>
              <w:t xml:space="preserve">(1)  Routine </w:t>
            </w:r>
            <w:r w:rsidR="00873972">
              <w:t>m</w:t>
            </w:r>
            <w:r>
              <w:t>aintenance that takes a unit out of service for more than two hours during any twenty-four hour period.</w:t>
            </w:r>
          </w:p>
          <w:p w14:paraId="247E05AF" w14:textId="77777777" w:rsidR="007A432B" w:rsidRPr="00FA562D" w:rsidRDefault="007A432B" w:rsidP="000C1006">
            <w:pPr>
              <w:tabs>
                <w:tab w:val="left" w:pos="-720"/>
              </w:tabs>
              <w:spacing w:before="120"/>
              <w:ind w:left="12"/>
            </w:pPr>
            <w:r>
              <w:t xml:space="preserve">(2)  </w:t>
            </w:r>
            <w:r w:rsidRPr="00700BB6">
              <w:t>Unscheduled repairs that require a unit to be taken out of service for more than</w:t>
            </w:r>
            <w:r>
              <w:t xml:space="preserve"> </w:t>
            </w:r>
            <w:r w:rsidRPr="00700BB6">
              <w:t>two hours in any twenty-four hour period.</w:t>
            </w:r>
          </w:p>
        </w:tc>
      </w:tr>
      <w:tr w:rsidR="007A432B" w:rsidRPr="00FA562D" w14:paraId="7075170A" w14:textId="77777777" w:rsidTr="00377678">
        <w:trPr>
          <w:jc w:val="center"/>
        </w:trPr>
        <w:tc>
          <w:tcPr>
            <w:tcW w:w="9360" w:type="dxa"/>
          </w:tcPr>
          <w:p w14:paraId="2D960CC8" w14:textId="77777777" w:rsidR="007A432B" w:rsidRPr="00FA562D" w:rsidRDefault="007A432B" w:rsidP="000C1006">
            <w:pPr>
              <w:spacing w:before="120"/>
            </w:pPr>
            <w:r w:rsidRPr="00FA562D">
              <w:rPr>
                <w:b/>
              </w:rPr>
              <w:t>Recordkeeping:</w:t>
            </w:r>
            <w:r w:rsidRPr="00FA562D">
              <w:t xml:space="preserve"> The permittee shall maintain records in accordance with </w:t>
            </w:r>
            <w:r w:rsidRPr="00FA562D">
              <w:rPr>
                <w:rFonts w:eastAsia="MS Mincho"/>
              </w:rPr>
              <w:t>Section B109</w:t>
            </w:r>
            <w:r w:rsidR="004F2E24">
              <w:rPr>
                <w:rFonts w:eastAsia="MS Mincho"/>
              </w:rPr>
              <w:t xml:space="preserve">, </w:t>
            </w:r>
            <w:r w:rsidR="004F2E24">
              <w:rPr>
                <w:rFonts w:eastAsia="MS Mincho"/>
              </w:rPr>
              <w:lastRenderedPageBreak/>
              <w:t>including records of maintenance and repairs activities and a copy of the manufacturer’s or permittee’s recommended maintenance schedule.</w:t>
            </w:r>
            <w:r w:rsidRPr="00FA562D">
              <w:rPr>
                <w:rFonts w:eastAsia="MS Mincho"/>
              </w:rPr>
              <w:t xml:space="preserve"> </w:t>
            </w:r>
          </w:p>
        </w:tc>
      </w:tr>
      <w:tr w:rsidR="007A432B" w:rsidRPr="00FA562D" w14:paraId="7CD359E2" w14:textId="77777777" w:rsidTr="00377678">
        <w:trPr>
          <w:jc w:val="center"/>
        </w:trPr>
        <w:tc>
          <w:tcPr>
            <w:tcW w:w="9360" w:type="dxa"/>
          </w:tcPr>
          <w:p w14:paraId="5701D849" w14:textId="77777777" w:rsidR="007A432B" w:rsidRPr="00FA562D" w:rsidRDefault="007A432B" w:rsidP="000C1006">
            <w:pPr>
              <w:spacing w:before="120"/>
            </w:pPr>
            <w:r w:rsidRPr="00FA562D">
              <w:rPr>
                <w:b/>
              </w:rPr>
              <w:lastRenderedPageBreak/>
              <w:t>Reporting:</w:t>
            </w:r>
            <w:r w:rsidRPr="00FA562D">
              <w:t xml:space="preserve"> The permittee shall report in accordance with Section B110. </w:t>
            </w:r>
          </w:p>
        </w:tc>
      </w:tr>
    </w:tbl>
    <w:p w14:paraId="532C2C7C" w14:textId="77777777" w:rsidR="007A432B" w:rsidRDefault="007A432B" w:rsidP="008E670C">
      <w:pPr>
        <w:pStyle w:val="Title"/>
        <w:jc w:val="left"/>
        <w:rPr>
          <w:color w:val="FF0000"/>
          <w:u w:val="none"/>
        </w:rPr>
      </w:pPr>
    </w:p>
    <w:p w14:paraId="60B374C6" w14:textId="77777777" w:rsidR="007A432B" w:rsidRPr="008E670C" w:rsidRDefault="007A432B" w:rsidP="008E670C">
      <w:pPr>
        <w:pStyle w:val="Title"/>
        <w:jc w:val="left"/>
        <w:rPr>
          <w:color w:val="FF0000"/>
          <w:u w:val="none"/>
        </w:rPr>
      </w:pPr>
      <w:r w:rsidRPr="008E670C">
        <w:rPr>
          <w:color w:val="FF0000"/>
          <w:u w:val="none"/>
        </w:rPr>
        <w:t>[Periodic Testing: Condition may be used for multiple scenarios; adjust as necessary and refer to flow diagram.</w:t>
      </w:r>
      <w:r w:rsidR="00C11C79">
        <w:rPr>
          <w:color w:val="FF0000"/>
          <w:u w:val="none"/>
        </w:rPr>
        <w:t xml:space="preserve"> </w:t>
      </w:r>
      <w:r w:rsidRPr="008E670C">
        <w:rPr>
          <w:color w:val="FF0000"/>
          <w:u w:val="none"/>
        </w:rPr>
        <w:t xml:space="preserve"> For example, quarterly testing is required for units with controls and annual testing is required for uncontrolled units with total facility emissions ≥ 95 tpy for any pollutant.]</w:t>
      </w:r>
    </w:p>
    <w:p w14:paraId="5F93C710" w14:textId="77777777" w:rsidR="007A432B" w:rsidRDefault="007A432B" w:rsidP="00103B27">
      <w:pPr>
        <w:pStyle w:val="AQBCLvl-1"/>
        <w:numPr>
          <w:ilvl w:val="0"/>
          <w:numId w:val="2"/>
        </w:numPr>
        <w:spacing w:before="240"/>
      </w:pPr>
      <w:r>
        <w:t>Periodic</w:t>
      </w:r>
      <w:r w:rsidRPr="00562135">
        <w:t xml:space="preserve"> </w:t>
      </w:r>
      <w:r w:rsidR="007E2253">
        <w:t xml:space="preserve">Emissions </w:t>
      </w:r>
      <w:r w:rsidRPr="00562135">
        <w:t>Testing</w:t>
      </w:r>
      <w:r>
        <w:t xml:space="preserve"> (Unit(s) </w:t>
      </w:r>
      <w:r w:rsidRPr="008311A6">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55A204CC" w14:textId="77777777" w:rsidTr="002F5018">
        <w:trPr>
          <w:jc w:val="center"/>
        </w:trPr>
        <w:tc>
          <w:tcPr>
            <w:tcW w:w="9360" w:type="dxa"/>
          </w:tcPr>
          <w:p w14:paraId="4348A9AC" w14:textId="77777777" w:rsidR="007A432B" w:rsidRDefault="007A432B" w:rsidP="00026A07">
            <w:pPr>
              <w:spacing w:before="120"/>
            </w:pPr>
            <w:r>
              <w:rPr>
                <w:b/>
              </w:rPr>
              <w:t xml:space="preserve">Requirement: </w:t>
            </w:r>
            <w:r w:rsidR="00232938">
              <w:t xml:space="preserve">Compliance with the allowable emission limits in Table 106.A shall be demonstrated by </w:t>
            </w:r>
            <w:r w:rsidR="00964A99">
              <w:t xml:space="preserve">completing periodic </w:t>
            </w:r>
            <w:r w:rsidR="00232938">
              <w:t>emission tests</w:t>
            </w:r>
            <w:r w:rsidR="00026A07">
              <w:t xml:space="preserve"> </w:t>
            </w:r>
            <w:r w:rsidR="00026A07" w:rsidRPr="000155C0">
              <w:t>during the monitoring period</w:t>
            </w:r>
            <w:r w:rsidR="00232938" w:rsidRPr="000155C0">
              <w:t>.</w:t>
            </w:r>
            <w:r w:rsidR="00E1538A">
              <w:t xml:space="preserve"> </w:t>
            </w:r>
            <w:r w:rsidR="00E1538A" w:rsidRPr="00E1538A">
              <w:rPr>
                <w:b/>
                <w:color w:val="FF0000"/>
              </w:rPr>
              <w:t>For TV Permits add</w:t>
            </w:r>
            <w:r w:rsidR="00E1538A">
              <w:t xml:space="preserve"> (NSR XXXX-MX, Condition AXXX.B </w:t>
            </w:r>
            <w:r w:rsidR="00E1538A" w:rsidRPr="00E1538A">
              <w:rPr>
                <w:color w:val="FF0000"/>
              </w:rPr>
              <w:t>and revised</w:t>
            </w:r>
            <w:r w:rsidR="00E1538A">
              <w:t>)</w:t>
            </w:r>
          </w:p>
        </w:tc>
      </w:tr>
      <w:tr w:rsidR="007A432B" w14:paraId="01D383BC" w14:textId="77777777" w:rsidTr="002F5018">
        <w:trPr>
          <w:jc w:val="center"/>
        </w:trPr>
        <w:tc>
          <w:tcPr>
            <w:tcW w:w="9360" w:type="dxa"/>
          </w:tcPr>
          <w:p w14:paraId="439EF3BB" w14:textId="77777777" w:rsidR="00964A99" w:rsidRDefault="007A432B" w:rsidP="00964A99">
            <w:pPr>
              <w:spacing w:before="120"/>
              <w:contextualSpacing/>
              <w:rPr>
                <w:rFonts w:eastAsia="MS Mincho"/>
              </w:rPr>
            </w:pPr>
            <w:r>
              <w:rPr>
                <w:b/>
              </w:rPr>
              <w:t>Monitoring:</w:t>
            </w:r>
            <w:r>
              <w:t xml:space="preserve"> </w:t>
            </w:r>
            <w:r>
              <w:rPr>
                <w:rFonts w:eastAsia="MS Mincho"/>
              </w:rPr>
              <w:t xml:space="preserve">The permittee shall test using a portable analyzer or </w:t>
            </w:r>
            <w:r>
              <w:t>EPA Reference Methods</w:t>
            </w:r>
            <w:r>
              <w:rPr>
                <w:rFonts w:eastAsia="MS Mincho"/>
              </w:rPr>
              <w:t xml:space="preserve"> subject to the requirements and limitations of Section </w:t>
            </w:r>
            <w:r>
              <w:rPr>
                <w:rFonts w:eastAsia="MS Mincho"/>
                <w:bCs/>
              </w:rPr>
              <w:t>B108, General Monitoring Requirements</w:t>
            </w:r>
            <w:r>
              <w:rPr>
                <w:rFonts w:eastAsia="MS Mincho"/>
              </w:rPr>
              <w:t>.</w:t>
            </w:r>
            <w:r w:rsidR="00C11C79">
              <w:rPr>
                <w:rFonts w:eastAsia="MS Mincho"/>
              </w:rPr>
              <w:t xml:space="preserve"> </w:t>
            </w:r>
            <w:r>
              <w:rPr>
                <w:rFonts w:eastAsia="MS Mincho"/>
              </w:rPr>
              <w:t xml:space="preserve"> </w:t>
            </w:r>
            <w:r w:rsidR="009B03DD">
              <w:rPr>
                <w:rFonts w:eastAsia="MS Mincho"/>
              </w:rPr>
              <w:t xml:space="preserve">Emission testing is required for NOx and CO </w:t>
            </w:r>
            <w:r>
              <w:rPr>
                <w:rFonts w:eastAsia="MS Mincho"/>
                <w:color w:val="FF0000"/>
              </w:rPr>
              <w:t xml:space="preserve">[change reference to pollutants as necessary] </w:t>
            </w:r>
            <w:r w:rsidR="00995071">
              <w:rPr>
                <w:rFonts w:eastAsia="MS Mincho"/>
              </w:rPr>
              <w:t>and</w:t>
            </w:r>
            <w:r>
              <w:rPr>
                <w:rFonts w:eastAsia="MS Mincho"/>
              </w:rPr>
              <w:t xml:space="preserve"> shall be carried out as described below. </w:t>
            </w:r>
          </w:p>
          <w:p w14:paraId="43F91CCF" w14:textId="77777777" w:rsidR="007A432B" w:rsidRDefault="007A432B" w:rsidP="00964A99">
            <w:pPr>
              <w:spacing w:before="120"/>
              <w:contextualSpacing/>
              <w:rPr>
                <w:bCs/>
                <w:color w:val="FF0000"/>
              </w:rPr>
            </w:pPr>
            <w:r>
              <w:rPr>
                <w:bCs/>
                <w:color w:val="FF0000"/>
              </w:rPr>
              <w:t>[If the unit has VOC emission l</w:t>
            </w:r>
            <w:r w:rsidR="00D85FE8">
              <w:rPr>
                <w:bCs/>
                <w:color w:val="FF0000"/>
              </w:rPr>
              <w:t>imits, include the following.]</w:t>
            </w:r>
          </w:p>
          <w:p w14:paraId="46D2FCCD" w14:textId="77777777" w:rsidR="00964A99" w:rsidRDefault="007A432B" w:rsidP="00964A99">
            <w:pPr>
              <w:spacing w:before="120"/>
              <w:contextualSpacing/>
            </w:pPr>
            <w:r>
              <w:t>Test results that demonstrate compliance with the CO emission limits shall also be considered to demonstrate compliance with the VOC emission limits.</w:t>
            </w:r>
            <w:r w:rsidR="00964A99">
              <w:t xml:space="preserve">  </w:t>
            </w:r>
          </w:p>
          <w:p w14:paraId="273928E1" w14:textId="77777777" w:rsidR="001D1304" w:rsidRDefault="001D1304" w:rsidP="00964A99">
            <w:pPr>
              <w:spacing w:before="120"/>
              <w:contextualSpacing/>
            </w:pPr>
          </w:p>
          <w:p w14:paraId="56E20280" w14:textId="77777777" w:rsidR="00343E6F" w:rsidRDefault="00343E6F" w:rsidP="00343E6F">
            <w:pPr>
              <w:spacing w:before="120"/>
              <w:contextualSpacing/>
            </w:pPr>
            <w:r>
              <w:t>For units with g/hp-</w:t>
            </w:r>
            <w:proofErr w:type="spellStart"/>
            <w:r>
              <w:t>hr</w:t>
            </w:r>
            <w:proofErr w:type="spellEnd"/>
            <w:r>
              <w:t xml:space="preserve"> emission limits, in addition to the requirements stated in Section B108, the engine load shall be calculated by using the following equation:</w:t>
            </w:r>
          </w:p>
          <w:p w14:paraId="3786BC45" w14:textId="77777777" w:rsidR="00343E6F" w:rsidRDefault="00343E6F" w:rsidP="00343E6F">
            <w:pPr>
              <w:spacing w:before="120"/>
              <w:contextualSpacing/>
            </w:pPr>
          </w:p>
          <w:p w14:paraId="46F17FC1" w14:textId="77777777" w:rsidR="00343E6F" w:rsidRDefault="00343E6F" w:rsidP="00343E6F">
            <w:pPr>
              <w:spacing w:before="120"/>
              <w:contextualSpacing/>
            </w:pPr>
            <w:r>
              <w:t>Load(Hp) =</w:t>
            </w:r>
            <w:r>
              <w:tab/>
            </w:r>
            <w:r w:rsidRPr="00D02D62">
              <w:rPr>
                <w:u w:val="single"/>
              </w:rPr>
              <w:t>Fuel consumption (</w:t>
            </w:r>
            <w:proofErr w:type="spellStart"/>
            <w:r w:rsidRPr="00D02D62">
              <w:rPr>
                <w:u w:val="single"/>
              </w:rPr>
              <w:t>scfh</w:t>
            </w:r>
            <w:proofErr w:type="spellEnd"/>
            <w:r w:rsidRPr="00D02D62">
              <w:rPr>
                <w:u w:val="single"/>
              </w:rPr>
              <w:t xml:space="preserve">) x Measured fuel heating value (LHV </w:t>
            </w:r>
            <w:proofErr w:type="spellStart"/>
            <w:r w:rsidRPr="00D02D62">
              <w:rPr>
                <w:u w:val="single"/>
              </w:rPr>
              <w:t>btu</w:t>
            </w:r>
            <w:proofErr w:type="spellEnd"/>
            <w:r w:rsidRPr="00D02D62">
              <w:rPr>
                <w:u w:val="single"/>
              </w:rPr>
              <w:t>/</w:t>
            </w:r>
            <w:proofErr w:type="spellStart"/>
            <w:r w:rsidRPr="00D02D62">
              <w:rPr>
                <w:u w:val="single"/>
              </w:rPr>
              <w:t>scf</w:t>
            </w:r>
            <w:proofErr w:type="spellEnd"/>
            <w:r w:rsidRPr="00D02D62">
              <w:rPr>
                <w:u w:val="single"/>
              </w:rPr>
              <w:t>)</w:t>
            </w:r>
          </w:p>
          <w:p w14:paraId="39BEDD0A" w14:textId="77777777" w:rsidR="00343E6F" w:rsidRDefault="00343E6F" w:rsidP="00343E6F">
            <w:r>
              <w:tab/>
            </w:r>
            <w:r>
              <w:tab/>
              <w:t>Manufacturer’s rated BSFC (</w:t>
            </w:r>
            <w:proofErr w:type="spellStart"/>
            <w:r>
              <w:t>btu</w:t>
            </w:r>
            <w:proofErr w:type="spellEnd"/>
            <w:r>
              <w:t>/bhp-</w:t>
            </w:r>
            <w:proofErr w:type="spellStart"/>
            <w:r>
              <w:t>hr</w:t>
            </w:r>
            <w:proofErr w:type="spellEnd"/>
            <w:r>
              <w:t>) at 100% load or best efficiency</w:t>
            </w:r>
          </w:p>
          <w:p w14:paraId="6A329EDF" w14:textId="77777777" w:rsidR="00681D9D" w:rsidRDefault="00681D9D" w:rsidP="00343E6F"/>
          <w:p w14:paraId="3305D3D6" w14:textId="6CACFDF4" w:rsidR="00681778" w:rsidRPr="0058242E" w:rsidRDefault="007A432B" w:rsidP="00585A23">
            <w:pPr>
              <w:tabs>
                <w:tab w:val="left" w:pos="-720"/>
              </w:tabs>
              <w:spacing w:before="120"/>
              <w:contextualSpacing/>
            </w:pPr>
            <w:r w:rsidRPr="0058242E">
              <w:t xml:space="preserve">(1) The </w:t>
            </w:r>
            <w:r w:rsidR="00681778" w:rsidRPr="00BD263C">
              <w:t>test</w:t>
            </w:r>
            <w:r w:rsidRPr="0058242E">
              <w:t xml:space="preserve">ing </w:t>
            </w:r>
            <w:r w:rsidR="00681778" w:rsidRPr="00BD263C">
              <w:t>shall be conducted as follows:</w:t>
            </w:r>
          </w:p>
          <w:p w14:paraId="019C9821" w14:textId="6A405E88" w:rsidR="007A432B" w:rsidRPr="0058242E" w:rsidRDefault="00681778" w:rsidP="0058242E">
            <w:pPr>
              <w:numPr>
                <w:ilvl w:val="0"/>
                <w:numId w:val="7"/>
              </w:numPr>
              <w:tabs>
                <w:tab w:val="left" w:pos="-720"/>
              </w:tabs>
              <w:spacing w:before="120"/>
              <w:contextualSpacing/>
            </w:pPr>
            <w:r w:rsidRPr="0058242E">
              <w:t xml:space="preserve">Testing frequency </w:t>
            </w:r>
            <w:r w:rsidR="007A432B" w:rsidRPr="0058242E">
              <w:t>shall be</w:t>
            </w:r>
            <w:r w:rsidR="007A432B" w:rsidRPr="0058242E">
              <w:rPr>
                <w:color w:val="FF0000"/>
              </w:rPr>
              <w:t xml:space="preserve"> </w:t>
            </w:r>
            <w:r w:rsidRPr="0058242E">
              <w:rPr>
                <w:color w:val="FF0000"/>
              </w:rPr>
              <w:t xml:space="preserve">once per </w:t>
            </w:r>
            <w:r w:rsidR="007A432B" w:rsidRPr="0058242E">
              <w:rPr>
                <w:color w:val="FF0000"/>
              </w:rPr>
              <w:t>[quarter</w:t>
            </w:r>
            <w:r w:rsidR="007A432B" w:rsidRPr="00BD263C">
              <w:rPr>
                <w:color w:val="FF0000"/>
              </w:rPr>
              <w:t xml:space="preserve"> or</w:t>
            </w:r>
            <w:r w:rsidR="0058242E">
              <w:rPr>
                <w:color w:val="FF0000"/>
              </w:rPr>
              <w:t xml:space="preserve"> </w:t>
            </w:r>
            <w:r w:rsidRPr="0058242E">
              <w:rPr>
                <w:color w:val="FF0000"/>
              </w:rPr>
              <w:t>year</w:t>
            </w:r>
            <w:r w:rsidR="007A432B" w:rsidRPr="0058242E">
              <w:rPr>
                <w:color w:val="FF0000"/>
              </w:rPr>
              <w:t xml:space="preserve">] </w:t>
            </w:r>
          </w:p>
          <w:p w14:paraId="6F84E63A" w14:textId="1ABA39E4" w:rsidR="00681778" w:rsidRPr="000B7292" w:rsidRDefault="00681778" w:rsidP="00681778">
            <w:pPr>
              <w:pStyle w:val="BodyText"/>
              <w:numPr>
                <w:ilvl w:val="0"/>
                <w:numId w:val="7"/>
              </w:numPr>
              <w:tabs>
                <w:tab w:val="left" w:pos="-263"/>
                <w:tab w:val="left" w:pos="312"/>
              </w:tabs>
              <w:autoSpaceDE w:val="0"/>
              <w:autoSpaceDN w:val="0"/>
              <w:adjustRightInd w:val="0"/>
              <w:spacing w:before="120" w:after="0"/>
              <w:jc w:val="left"/>
            </w:pPr>
            <w:r w:rsidRPr="000B7292">
              <w:t xml:space="preserve">The monitoring period is defined as </w:t>
            </w:r>
            <w:r w:rsidR="0068125A">
              <w:rPr>
                <w:color w:val="FF0000"/>
              </w:rPr>
              <w:t>[</w:t>
            </w:r>
            <w:r w:rsidRPr="000B7292">
              <w:rPr>
                <w:color w:val="FF0000"/>
              </w:rPr>
              <w:t>a calendar quarter, a calendar year], or [a custom schedule requested by the permittee]</w:t>
            </w:r>
            <w:r w:rsidRPr="000B7292">
              <w:t>.</w:t>
            </w:r>
          </w:p>
          <w:p w14:paraId="719EBB20" w14:textId="77777777" w:rsidR="007A432B" w:rsidRPr="00CE6023" w:rsidRDefault="007A432B" w:rsidP="00964A99">
            <w:pPr>
              <w:tabs>
                <w:tab w:val="left" w:pos="-720"/>
              </w:tabs>
              <w:spacing w:before="120"/>
              <w:ind w:left="12"/>
              <w:contextualSpacing/>
              <w:rPr>
                <w:rFonts w:eastAsia="MS Mincho"/>
              </w:rPr>
            </w:pPr>
            <w:r>
              <w:t>(2) The first test shall occur within the first</w:t>
            </w:r>
            <w:r w:rsidR="00C632E7">
              <w:t xml:space="preserve"> </w:t>
            </w:r>
            <w:r>
              <w:t>monitoring period occurring after permit issuance.</w:t>
            </w:r>
            <w:r w:rsidR="001D1304">
              <w:t xml:space="preserve"> </w:t>
            </w:r>
            <w:r>
              <w:rPr>
                <w:color w:val="FF0000"/>
              </w:rPr>
              <w:t xml:space="preserve"> </w:t>
            </w:r>
            <w:r w:rsidRPr="00C8349D">
              <w:rPr>
                <w:b/>
                <w:color w:val="FF0000"/>
              </w:rPr>
              <w:t>[or if testing</w:t>
            </w:r>
            <w:r w:rsidR="00C11C79">
              <w:rPr>
                <w:b/>
                <w:color w:val="FF0000"/>
              </w:rPr>
              <w:t xml:space="preserve"> was</w:t>
            </w:r>
            <w:r w:rsidRPr="00C8349D">
              <w:rPr>
                <w:b/>
                <w:color w:val="FF0000"/>
              </w:rPr>
              <w:t xml:space="preserve"> already required</w:t>
            </w:r>
            <w:r w:rsidR="00C11C79">
              <w:rPr>
                <w:b/>
                <w:color w:val="FF0000"/>
              </w:rPr>
              <w:t xml:space="preserve"> by the previous permit,</w:t>
            </w:r>
            <w:r w:rsidR="008D6494">
              <w:rPr>
                <w:b/>
                <w:color w:val="FF0000"/>
              </w:rPr>
              <w:t xml:space="preserve"> use this instead:</w:t>
            </w:r>
            <w:r w:rsidRPr="00C8349D">
              <w:rPr>
                <w:b/>
                <w:color w:val="FF0000"/>
              </w:rPr>
              <w:t>]</w:t>
            </w:r>
            <w:r>
              <w:rPr>
                <w:color w:val="FF0000"/>
              </w:rPr>
              <w:t xml:space="preserve"> </w:t>
            </w:r>
            <w:r w:rsidRPr="00CE6023">
              <w:t>The tests shall continue based on the existing testing schedule.</w:t>
            </w:r>
          </w:p>
          <w:p w14:paraId="717DBA9A" w14:textId="77777777" w:rsidR="007A432B" w:rsidRDefault="007A432B" w:rsidP="00964A99">
            <w:pPr>
              <w:pStyle w:val="BodyTextIndent3"/>
              <w:tabs>
                <w:tab w:val="left" w:pos="-720"/>
              </w:tabs>
              <w:spacing w:before="120" w:after="0"/>
              <w:ind w:left="12"/>
              <w:contextualSpacing/>
              <w:rPr>
                <w:sz w:val="24"/>
                <w:szCs w:val="20"/>
              </w:rPr>
            </w:pPr>
            <w:r>
              <w:rPr>
                <w:sz w:val="24"/>
                <w:szCs w:val="20"/>
              </w:rPr>
              <w:t>(3) All subsequent monitoring shall occur in each succeeding monitoring period.</w:t>
            </w:r>
            <w:r w:rsidR="001D1304">
              <w:rPr>
                <w:sz w:val="24"/>
                <w:szCs w:val="20"/>
              </w:rPr>
              <w:t xml:space="preserve"> </w:t>
            </w:r>
            <w:r>
              <w:rPr>
                <w:sz w:val="24"/>
                <w:szCs w:val="20"/>
              </w:rPr>
              <w:t xml:space="preserve"> No two monitoring events shall occur closer together in time than 25% of a monitoring period.</w:t>
            </w:r>
          </w:p>
          <w:p w14:paraId="7F6C8912" w14:textId="77777777" w:rsidR="00343E6F" w:rsidRPr="009E45E7" w:rsidRDefault="007A432B" w:rsidP="00343E6F">
            <w:pPr>
              <w:pStyle w:val="BodyTextIndent3"/>
              <w:spacing w:before="120" w:after="0"/>
              <w:ind w:left="12"/>
              <w:contextualSpacing/>
              <w:rPr>
                <w:sz w:val="24"/>
                <w:szCs w:val="24"/>
              </w:rPr>
            </w:pPr>
            <w:r>
              <w:rPr>
                <w:sz w:val="24"/>
                <w:szCs w:val="20"/>
              </w:rPr>
              <w:t>(4) The permittee shall follow the General Testing Procedures of Section B111.</w:t>
            </w:r>
            <w:r w:rsidR="00343E6F" w:rsidRPr="009E45E7">
              <w:rPr>
                <w:color w:val="FF0000"/>
                <w:sz w:val="24"/>
                <w:szCs w:val="24"/>
              </w:rPr>
              <w:t xml:space="preserve"> </w:t>
            </w:r>
            <w:r w:rsidRPr="009E45E7">
              <w:rPr>
                <w:color w:val="FF0000"/>
                <w:sz w:val="24"/>
                <w:szCs w:val="24"/>
              </w:rPr>
              <w:t xml:space="preserve">[add #5 if subject to testing in NSPS </w:t>
            </w:r>
            <w:r>
              <w:rPr>
                <w:color w:val="FF0000"/>
                <w:sz w:val="24"/>
                <w:szCs w:val="24"/>
              </w:rPr>
              <w:t xml:space="preserve">JJJJ/IIII </w:t>
            </w:r>
            <w:r w:rsidRPr="009E45E7">
              <w:rPr>
                <w:color w:val="FF0000"/>
                <w:sz w:val="24"/>
                <w:szCs w:val="24"/>
              </w:rPr>
              <w:t xml:space="preserve">or </w:t>
            </w:r>
            <w:r>
              <w:rPr>
                <w:color w:val="FF0000"/>
                <w:sz w:val="24"/>
                <w:szCs w:val="24"/>
              </w:rPr>
              <w:t>NESHAP ZZZZ]</w:t>
            </w:r>
            <w:r w:rsidRPr="009E45E7">
              <w:rPr>
                <w:sz w:val="24"/>
                <w:szCs w:val="24"/>
              </w:rPr>
              <w:t xml:space="preserve"> (5) Performance testing required by 40 CFR 60, Subpart </w:t>
            </w:r>
            <w:r>
              <w:rPr>
                <w:sz w:val="24"/>
                <w:szCs w:val="24"/>
              </w:rPr>
              <w:t>JJJJ or IIII</w:t>
            </w:r>
            <w:r w:rsidRPr="009E45E7">
              <w:rPr>
                <w:sz w:val="24"/>
                <w:szCs w:val="24"/>
              </w:rPr>
              <w:t xml:space="preserve"> or 40 CFR 6</w:t>
            </w:r>
            <w:r>
              <w:rPr>
                <w:sz w:val="24"/>
                <w:szCs w:val="24"/>
              </w:rPr>
              <w:t>3</w:t>
            </w:r>
            <w:r w:rsidRPr="009E45E7">
              <w:rPr>
                <w:sz w:val="24"/>
                <w:szCs w:val="24"/>
              </w:rPr>
              <w:t xml:space="preserve">, Subpart </w:t>
            </w:r>
            <w:r>
              <w:rPr>
                <w:sz w:val="24"/>
                <w:szCs w:val="24"/>
              </w:rPr>
              <w:t xml:space="preserve">ZZZZ </w:t>
            </w:r>
            <w:r w:rsidRPr="009E45E7">
              <w:rPr>
                <w:sz w:val="24"/>
                <w:szCs w:val="24"/>
              </w:rPr>
              <w:t>may be used to satisfy these periodic testing requirements if they meet the requirements of this condition and are completed during the specified monitoring period.</w:t>
            </w:r>
          </w:p>
        </w:tc>
      </w:tr>
      <w:tr w:rsidR="007A432B" w14:paraId="5D0BE56E" w14:textId="77777777" w:rsidTr="002F5018">
        <w:trPr>
          <w:jc w:val="center"/>
        </w:trPr>
        <w:tc>
          <w:tcPr>
            <w:tcW w:w="9360" w:type="dxa"/>
          </w:tcPr>
          <w:p w14:paraId="2A717114" w14:textId="77777777" w:rsidR="007A432B" w:rsidRDefault="007A432B" w:rsidP="00964A99">
            <w:pPr>
              <w:spacing w:before="120"/>
              <w:contextualSpacing/>
            </w:pPr>
            <w:r>
              <w:rPr>
                <w:b/>
              </w:rPr>
              <w:t>Recordkeeping:</w:t>
            </w:r>
            <w:r>
              <w:t xml:space="preserve"> The permittee shall maintain records in accordance with </w:t>
            </w:r>
            <w:r>
              <w:rPr>
                <w:rFonts w:eastAsia="MS Mincho"/>
              </w:rPr>
              <w:t xml:space="preserve">Section B109, B110, and B111. </w:t>
            </w:r>
          </w:p>
        </w:tc>
      </w:tr>
      <w:tr w:rsidR="007A432B" w14:paraId="052BE65C" w14:textId="77777777" w:rsidTr="002F5018">
        <w:trPr>
          <w:jc w:val="center"/>
        </w:trPr>
        <w:tc>
          <w:tcPr>
            <w:tcW w:w="9360" w:type="dxa"/>
          </w:tcPr>
          <w:p w14:paraId="2C6DA3A6" w14:textId="77777777" w:rsidR="007A432B" w:rsidRDefault="007A432B" w:rsidP="00964A99">
            <w:pPr>
              <w:spacing w:before="120"/>
              <w:contextualSpacing/>
            </w:pPr>
            <w:r>
              <w:rPr>
                <w:b/>
              </w:rPr>
              <w:t>Reporting:</w:t>
            </w:r>
            <w:r>
              <w:t xml:space="preserve"> The permittee shall report in accordance with Section B109, B110, and B111. </w:t>
            </w:r>
          </w:p>
        </w:tc>
      </w:tr>
    </w:tbl>
    <w:p w14:paraId="0030FCBE" w14:textId="2148A831" w:rsidR="007A432B" w:rsidRDefault="007A432B" w:rsidP="00103B27">
      <w:pPr>
        <w:pStyle w:val="AQBLvl-1Condition"/>
        <w:tabs>
          <w:tab w:val="clear" w:pos="936"/>
        </w:tabs>
        <w:spacing w:before="240"/>
        <w:ind w:left="0" w:firstLine="0"/>
        <w:rPr>
          <w:b/>
        </w:rPr>
      </w:pPr>
      <w:r w:rsidRPr="00585A23">
        <w:rPr>
          <w:b/>
          <w:color w:val="FF0000"/>
        </w:rPr>
        <w:lastRenderedPageBreak/>
        <w:t>[</w:t>
      </w:r>
      <w:r w:rsidRPr="00790307">
        <w:rPr>
          <w:b/>
          <w:color w:val="FF0000"/>
        </w:rPr>
        <w:t xml:space="preserve">If </w:t>
      </w:r>
      <w:r w:rsidR="0007343C">
        <w:rPr>
          <w:b/>
          <w:color w:val="FF0000"/>
        </w:rPr>
        <w:t>C&amp;E</w:t>
      </w:r>
      <w:r w:rsidRPr="00790307">
        <w:rPr>
          <w:b/>
          <w:color w:val="FF0000"/>
        </w:rPr>
        <w:t xml:space="preserve"> ha</w:t>
      </w:r>
      <w:r>
        <w:rPr>
          <w:b/>
          <w:color w:val="FF0000"/>
        </w:rPr>
        <w:t>s</w:t>
      </w:r>
      <w:r w:rsidRPr="00790307">
        <w:rPr>
          <w:b/>
          <w:color w:val="FF0000"/>
        </w:rPr>
        <w:t xml:space="preserve"> approved an exemption for 30-day notification then replace (</w:t>
      </w:r>
      <w:r w:rsidR="001D1304">
        <w:rPr>
          <w:b/>
          <w:color w:val="FF0000"/>
        </w:rPr>
        <w:t>4</w:t>
      </w:r>
      <w:r w:rsidRPr="00790307">
        <w:rPr>
          <w:b/>
          <w:color w:val="FF0000"/>
        </w:rPr>
        <w:t>) above with this:</w:t>
      </w:r>
      <w:r w:rsidR="00585A23">
        <w:rPr>
          <w:b/>
          <w:color w:val="FF0000"/>
        </w:rPr>
        <w:t>]</w:t>
      </w:r>
      <w:r>
        <w:rPr>
          <w:b/>
        </w:rPr>
        <w:t xml:space="preserve"> </w:t>
      </w:r>
      <w:r>
        <w:t>(</w:t>
      </w:r>
      <w:r w:rsidR="00F30C84">
        <w:t>4</w:t>
      </w:r>
      <w:r>
        <w:t xml:space="preserve">) Follow the General Testing Procedures of Section B111. </w:t>
      </w:r>
      <w:r w:rsidR="001D1304">
        <w:t xml:space="preserve"> </w:t>
      </w:r>
      <w:r w:rsidRPr="00692BDB">
        <w:t xml:space="preserve">Due to the unique </w:t>
      </w:r>
      <w:r>
        <w:t>operation of this</w:t>
      </w:r>
      <w:r w:rsidRPr="00692BDB">
        <w:t xml:space="preserve"> facilit</w:t>
      </w:r>
      <w:r>
        <w:t>y as a “peaking station”</w:t>
      </w:r>
      <w:r w:rsidRPr="00692BDB">
        <w:t xml:space="preserve">, the </w:t>
      </w:r>
      <w:r>
        <w:t>Department</w:t>
      </w:r>
      <w:r w:rsidRPr="00692BDB">
        <w:t xml:space="preserve"> </w:t>
      </w:r>
      <w:r>
        <w:t>exempts the permittee from the 30-day notification stated in General Condition B111.D(1).</w:t>
      </w:r>
      <w:r w:rsidR="00F47F4A">
        <w:t xml:space="preserve"> </w:t>
      </w:r>
      <w:r>
        <w:t xml:space="preserve"> The permittee shall notify the department as soon as possible prior to the test.</w:t>
      </w:r>
      <w:r>
        <w:rPr>
          <w:b/>
        </w:rPr>
        <w:t xml:space="preserve">] </w:t>
      </w:r>
      <w:r w:rsidR="001D1304">
        <w:rPr>
          <w:b/>
        </w:rPr>
        <w:t xml:space="preserve"> </w:t>
      </w:r>
      <w:r>
        <w:rPr>
          <w:b/>
        </w:rPr>
        <w:t>This was done in Permits P151R2, P155R2, P153R2M1, P154R3 for TWP.</w:t>
      </w:r>
    </w:p>
    <w:p w14:paraId="725CA3AB" w14:textId="28872890" w:rsidR="007A432B" w:rsidRDefault="007A432B" w:rsidP="00103B27">
      <w:pPr>
        <w:pStyle w:val="AQBLvl-1Condition"/>
        <w:tabs>
          <w:tab w:val="clear" w:pos="936"/>
        </w:tabs>
        <w:spacing w:before="240"/>
        <w:ind w:left="0" w:firstLine="0"/>
      </w:pPr>
      <w:r>
        <w:rPr>
          <w:b/>
        </w:rPr>
        <w:t xml:space="preserve">[Initial Compliance Test: </w:t>
      </w:r>
      <w:r w:rsidRPr="00CC7E01">
        <w:rPr>
          <w:b/>
        </w:rPr>
        <w:t xml:space="preserve">TV permits shall </w:t>
      </w:r>
      <w:r w:rsidR="001D1304">
        <w:rPr>
          <w:b/>
        </w:rPr>
        <w:t>determine</w:t>
      </w:r>
      <w:r w:rsidR="001D1304" w:rsidRPr="00CC7E01">
        <w:rPr>
          <w:b/>
        </w:rPr>
        <w:t xml:space="preserve"> </w:t>
      </w:r>
      <w:r w:rsidRPr="00CC7E01">
        <w:rPr>
          <w:b/>
        </w:rPr>
        <w:t>if the required test has been completed or if the requirement must be brought forward.]</w:t>
      </w:r>
    </w:p>
    <w:p w14:paraId="66FFBC20" w14:textId="77777777" w:rsidR="007A432B" w:rsidRDefault="007A432B" w:rsidP="00103B27">
      <w:pPr>
        <w:pStyle w:val="AQBCLvl-1"/>
        <w:tabs>
          <w:tab w:val="clear" w:pos="1116"/>
          <w:tab w:val="num" w:pos="1176"/>
        </w:tabs>
        <w:spacing w:before="240"/>
      </w:pPr>
      <w:r>
        <w:t xml:space="preserve">Initial Compliance Test (Unit(s) </w:t>
      </w:r>
      <w:r w:rsidRPr="00CA1EBB">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00E9A4E8" w14:textId="77777777" w:rsidTr="002F5018">
        <w:trPr>
          <w:jc w:val="center"/>
        </w:trPr>
        <w:tc>
          <w:tcPr>
            <w:tcW w:w="9360" w:type="dxa"/>
          </w:tcPr>
          <w:p w14:paraId="7BE0FA27" w14:textId="77777777" w:rsidR="007A432B" w:rsidRDefault="007A432B" w:rsidP="000C1006">
            <w:pPr>
              <w:spacing w:before="120"/>
            </w:pPr>
            <w:r>
              <w:rPr>
                <w:b/>
              </w:rPr>
              <w:t xml:space="preserve">Requirement: </w:t>
            </w:r>
            <w:r w:rsidR="00601229">
              <w:t>Compliance with the allowable emission limits in Table 106.A shall be demonstrated by performing an initial compliance test.</w:t>
            </w:r>
          </w:p>
        </w:tc>
      </w:tr>
      <w:tr w:rsidR="007A432B" w14:paraId="28DC37DC" w14:textId="77777777" w:rsidTr="002F5018">
        <w:trPr>
          <w:jc w:val="center"/>
        </w:trPr>
        <w:tc>
          <w:tcPr>
            <w:tcW w:w="9360" w:type="dxa"/>
          </w:tcPr>
          <w:p w14:paraId="1E67F9C7" w14:textId="77777777" w:rsidR="007A432B" w:rsidRDefault="007A432B" w:rsidP="000C1006">
            <w:pPr>
              <w:spacing w:before="120"/>
              <w:rPr>
                <w:rFonts w:eastAsia="MS Mincho"/>
                <w:color w:val="FF0000"/>
              </w:rPr>
            </w:pPr>
            <w:r>
              <w:rPr>
                <w:b/>
              </w:rPr>
              <w:t>Monitoring:</w:t>
            </w:r>
            <w:r>
              <w:t xml:space="preserve"> The permittee shall perform an initial compliance test in accordance with the General Testing Requirements of Section B111</w:t>
            </w:r>
            <w:r>
              <w:rPr>
                <w:rFonts w:eastAsia="MS Mincho"/>
              </w:rPr>
              <w:t>.</w:t>
            </w:r>
            <w:r w:rsidR="001D1304">
              <w:rPr>
                <w:rFonts w:eastAsia="MS Mincho"/>
              </w:rPr>
              <w:t xml:space="preserve"> </w:t>
            </w:r>
            <w:r>
              <w:rPr>
                <w:rFonts w:eastAsia="MS Mincho"/>
              </w:rPr>
              <w:t xml:space="preserve"> Emission testing is required for NOx and CO.</w:t>
            </w:r>
          </w:p>
          <w:p w14:paraId="15E60231" w14:textId="77777777" w:rsidR="007A432B" w:rsidRDefault="007A432B" w:rsidP="000C1006">
            <w:pPr>
              <w:spacing w:before="120"/>
              <w:rPr>
                <w:rFonts w:eastAsia="MS Mincho"/>
                <w:color w:val="FF0000"/>
              </w:rPr>
            </w:pPr>
            <w:r>
              <w:rPr>
                <w:rFonts w:eastAsia="MS Mincho"/>
                <w:color w:val="FF0000"/>
              </w:rPr>
              <w:t xml:space="preserve">[change reference to pollutants as necessary]. </w:t>
            </w:r>
          </w:p>
          <w:p w14:paraId="33EEC7F0" w14:textId="77777777" w:rsidR="007A432B" w:rsidRDefault="007A432B" w:rsidP="000C1006">
            <w:pPr>
              <w:spacing w:before="120"/>
            </w:pPr>
            <w:r>
              <w:rPr>
                <w:bCs/>
                <w:color w:val="FF0000"/>
              </w:rPr>
              <w:t xml:space="preserve">[If the unit has VOC emission limits, include the following.] </w:t>
            </w:r>
            <w:r w:rsidR="001D1304">
              <w:rPr>
                <w:bCs/>
                <w:color w:val="FF0000"/>
              </w:rPr>
              <w:t xml:space="preserve"> </w:t>
            </w:r>
            <w:r>
              <w:t xml:space="preserve">Test results that demonstrate compliance with the CO emission limits shall also be considered to demonstrate compliance with the VOC emission limits. </w:t>
            </w:r>
          </w:p>
          <w:p w14:paraId="6A7911DF" w14:textId="77777777" w:rsidR="007A432B" w:rsidRDefault="007A432B" w:rsidP="000C1006">
            <w:pPr>
              <w:spacing w:before="120"/>
              <w:rPr>
                <w:color w:val="FF0000"/>
              </w:rPr>
            </w:pPr>
            <w:r>
              <w:t>The monitoring exemptions of Section B108 do not apply to this requirement.</w:t>
            </w:r>
            <w:r w:rsidR="001D1304">
              <w:t xml:space="preserve"> </w:t>
            </w:r>
            <w:r>
              <w:t xml:space="preserve"> </w:t>
            </w:r>
            <w:r w:rsidRPr="000E1DEB">
              <w:rPr>
                <w:color w:val="FF0000"/>
              </w:rPr>
              <w:t>[TV: Add additional requirements f</w:t>
            </w:r>
            <w:r>
              <w:rPr>
                <w:color w:val="FF0000"/>
              </w:rPr>
              <w:t>rom NSR Permit such as timeframe</w:t>
            </w:r>
            <w:r w:rsidRPr="000E1DEB">
              <w:rPr>
                <w:color w:val="FF0000"/>
              </w:rPr>
              <w:t>]</w:t>
            </w:r>
          </w:p>
          <w:p w14:paraId="41AF8BBD" w14:textId="77777777" w:rsidR="00343E6F" w:rsidRDefault="00343E6F" w:rsidP="00343E6F">
            <w:pPr>
              <w:spacing w:before="120"/>
              <w:contextualSpacing/>
            </w:pPr>
            <w:r>
              <w:t>For units with g/hp-</w:t>
            </w:r>
            <w:proofErr w:type="spellStart"/>
            <w:r>
              <w:t>hr</w:t>
            </w:r>
            <w:proofErr w:type="spellEnd"/>
            <w:r>
              <w:t xml:space="preserve"> emission limits, the engine load shall be calculated by using the following equation:</w:t>
            </w:r>
          </w:p>
          <w:p w14:paraId="0690AD3A" w14:textId="77777777" w:rsidR="00343E6F" w:rsidRDefault="00343E6F" w:rsidP="00343E6F">
            <w:pPr>
              <w:spacing w:before="120"/>
              <w:contextualSpacing/>
            </w:pPr>
            <w:r>
              <w:t>Load(Hp) =</w:t>
            </w:r>
            <w:r>
              <w:tab/>
            </w:r>
            <w:r w:rsidRPr="00D02D62">
              <w:rPr>
                <w:u w:val="single"/>
              </w:rPr>
              <w:t>Fuel consumption (</w:t>
            </w:r>
            <w:proofErr w:type="spellStart"/>
            <w:r w:rsidRPr="00D02D62">
              <w:rPr>
                <w:u w:val="single"/>
              </w:rPr>
              <w:t>scfh</w:t>
            </w:r>
            <w:proofErr w:type="spellEnd"/>
            <w:r w:rsidRPr="00D02D62">
              <w:rPr>
                <w:u w:val="single"/>
              </w:rPr>
              <w:t xml:space="preserve">) x Measured fuel heating value (LHV </w:t>
            </w:r>
            <w:proofErr w:type="spellStart"/>
            <w:r w:rsidRPr="00D02D62">
              <w:rPr>
                <w:u w:val="single"/>
              </w:rPr>
              <w:t>btu</w:t>
            </w:r>
            <w:proofErr w:type="spellEnd"/>
            <w:r w:rsidRPr="00D02D62">
              <w:rPr>
                <w:u w:val="single"/>
              </w:rPr>
              <w:t>/</w:t>
            </w:r>
            <w:proofErr w:type="spellStart"/>
            <w:r w:rsidRPr="00D02D62">
              <w:rPr>
                <w:u w:val="single"/>
              </w:rPr>
              <w:t>scf</w:t>
            </w:r>
            <w:proofErr w:type="spellEnd"/>
            <w:r w:rsidRPr="00D02D62">
              <w:rPr>
                <w:u w:val="single"/>
              </w:rPr>
              <w:t>)</w:t>
            </w:r>
          </w:p>
          <w:p w14:paraId="77523C32" w14:textId="77777777" w:rsidR="00343E6F" w:rsidRDefault="00343E6F" w:rsidP="00AA051E">
            <w:r>
              <w:tab/>
            </w:r>
            <w:r>
              <w:tab/>
              <w:t>Manufacturer’s rated BSFC (</w:t>
            </w:r>
            <w:proofErr w:type="spellStart"/>
            <w:r>
              <w:t>btu</w:t>
            </w:r>
            <w:proofErr w:type="spellEnd"/>
            <w:r>
              <w:t>/bhp-</w:t>
            </w:r>
            <w:proofErr w:type="spellStart"/>
            <w:r>
              <w:t>hr</w:t>
            </w:r>
            <w:proofErr w:type="spellEnd"/>
            <w:r>
              <w:t>) at 100% load or best efficiency</w:t>
            </w:r>
          </w:p>
        </w:tc>
      </w:tr>
      <w:tr w:rsidR="007A432B" w14:paraId="79E42BAE" w14:textId="77777777" w:rsidTr="002F5018">
        <w:trPr>
          <w:jc w:val="center"/>
        </w:trPr>
        <w:tc>
          <w:tcPr>
            <w:tcW w:w="9360" w:type="dxa"/>
          </w:tcPr>
          <w:p w14:paraId="2357C9C4" w14:textId="77777777" w:rsidR="007A432B" w:rsidRDefault="007A432B" w:rsidP="000C1006">
            <w:pPr>
              <w:spacing w:before="120"/>
            </w:pPr>
            <w:r>
              <w:rPr>
                <w:b/>
              </w:rPr>
              <w:t>Recordkeeping:</w:t>
            </w:r>
            <w:r>
              <w:t xml:space="preserve"> The permittee shall maintain records in accordance with the applicable Sections in B109, B110, and B111. </w:t>
            </w:r>
          </w:p>
        </w:tc>
      </w:tr>
      <w:tr w:rsidR="007A432B" w14:paraId="03A90B61" w14:textId="77777777" w:rsidTr="002F5018">
        <w:trPr>
          <w:jc w:val="center"/>
        </w:trPr>
        <w:tc>
          <w:tcPr>
            <w:tcW w:w="9360" w:type="dxa"/>
          </w:tcPr>
          <w:p w14:paraId="416CBD5A" w14:textId="77777777" w:rsidR="007A432B" w:rsidRDefault="007A432B" w:rsidP="000C1006">
            <w:pPr>
              <w:spacing w:before="120"/>
            </w:pPr>
            <w:r>
              <w:rPr>
                <w:b/>
              </w:rPr>
              <w:t>Reporting:</w:t>
            </w:r>
            <w:r>
              <w:t xml:space="preserve"> The permittee shall report in accordance with the applicable Sections in B109, B110, and B111.</w:t>
            </w:r>
          </w:p>
        </w:tc>
      </w:tr>
    </w:tbl>
    <w:p w14:paraId="07262803" w14:textId="77777777" w:rsidR="007A432B" w:rsidRPr="008E670C" w:rsidRDefault="007A432B" w:rsidP="00103B27">
      <w:pPr>
        <w:pStyle w:val="AQBCLvl-1"/>
        <w:numPr>
          <w:ilvl w:val="0"/>
          <w:numId w:val="0"/>
        </w:numPr>
        <w:spacing w:before="240"/>
        <w:rPr>
          <w:b/>
          <w:color w:val="FF0000"/>
        </w:rPr>
      </w:pPr>
      <w:r w:rsidRPr="008E670C">
        <w:rPr>
          <w:b/>
          <w:color w:val="FF0000"/>
        </w:rPr>
        <w:t xml:space="preserve">[If the engine has a control device, include an operational requirement. </w:t>
      </w:r>
      <w:r w:rsidR="001D1304">
        <w:rPr>
          <w:b/>
          <w:color w:val="FF0000"/>
        </w:rPr>
        <w:t xml:space="preserve"> </w:t>
      </w:r>
      <w:r w:rsidRPr="008E670C">
        <w:rPr>
          <w:b/>
          <w:color w:val="FF0000"/>
        </w:rPr>
        <w:t>Examples are provided below.</w:t>
      </w:r>
      <w:r w:rsidR="001D1304">
        <w:rPr>
          <w:b/>
          <w:color w:val="FF0000"/>
        </w:rPr>
        <w:t xml:space="preserve"> </w:t>
      </w:r>
      <w:r w:rsidRPr="008E670C">
        <w:rPr>
          <w:b/>
          <w:color w:val="FF0000"/>
        </w:rPr>
        <w:t xml:space="preserve"> Adjust as necessary for your particular situation.</w:t>
      </w:r>
      <w:r w:rsidR="001D1304">
        <w:rPr>
          <w:b/>
          <w:color w:val="FF0000"/>
        </w:rPr>
        <w:t xml:space="preserve"> </w:t>
      </w:r>
      <w:r w:rsidRPr="008E670C">
        <w:rPr>
          <w:b/>
          <w:color w:val="FF0000"/>
        </w:rPr>
        <w:t xml:space="preserve"> Do not list control device efficiencies in the requirement.]</w:t>
      </w:r>
    </w:p>
    <w:p w14:paraId="5DD9AF2A" w14:textId="77777777" w:rsidR="007A432B" w:rsidRDefault="007A432B" w:rsidP="00103B27">
      <w:pPr>
        <w:pStyle w:val="AQBCLvl-1"/>
        <w:spacing w:before="240"/>
      </w:pPr>
      <w:r>
        <w:t xml:space="preserve">Catalytic </w:t>
      </w:r>
      <w:r w:rsidRPr="001C00FF">
        <w:t>Converter</w:t>
      </w:r>
      <w:r>
        <w:t xml:space="preserve"> Operation (Unit(s) </w:t>
      </w:r>
      <w:r w:rsidRPr="00896D37">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5A479CCA" w14:textId="77777777" w:rsidTr="002F5018">
        <w:trPr>
          <w:jc w:val="center"/>
        </w:trPr>
        <w:tc>
          <w:tcPr>
            <w:tcW w:w="9360" w:type="dxa"/>
          </w:tcPr>
          <w:p w14:paraId="0321C151" w14:textId="77777777" w:rsidR="007A432B" w:rsidRDefault="007A432B" w:rsidP="000C1006">
            <w:pPr>
              <w:spacing w:before="120"/>
            </w:pPr>
            <w:r>
              <w:rPr>
                <w:b/>
              </w:rPr>
              <w:t xml:space="preserve">Requirement: </w:t>
            </w:r>
            <w:r w:rsidRPr="00A01F73">
              <w:rPr>
                <w:color w:val="FF0000"/>
              </w:rPr>
              <w:t>[</w:t>
            </w:r>
            <w:r>
              <w:rPr>
                <w:color w:val="FF0000"/>
              </w:rPr>
              <w:t>Include and r</w:t>
            </w:r>
            <w:r w:rsidRPr="00A01F73">
              <w:rPr>
                <w:color w:val="FF0000"/>
              </w:rPr>
              <w:t>evise requirement</w:t>
            </w:r>
            <w:r>
              <w:rPr>
                <w:color w:val="FF0000"/>
              </w:rPr>
              <w:t>(s) as necessary</w:t>
            </w:r>
            <w:r w:rsidRPr="00A01F73">
              <w:rPr>
                <w:color w:val="FF0000"/>
              </w:rPr>
              <w:t>]</w:t>
            </w:r>
            <w:r w:rsidRPr="00A01F73">
              <w:t>.</w:t>
            </w:r>
            <w:r>
              <w:t xml:space="preserve"> </w:t>
            </w:r>
          </w:p>
          <w:p w14:paraId="4101F8D9" w14:textId="095A595D" w:rsidR="007A432B" w:rsidRDefault="00873972" w:rsidP="000C1006">
            <w:pPr>
              <w:spacing w:before="120"/>
            </w:pPr>
            <w:r>
              <w:t>(</w:t>
            </w:r>
            <w:r w:rsidR="007A432B">
              <w:t>1) The unit</w:t>
            </w:r>
            <w:r w:rsidR="007A432B" w:rsidRPr="00A01F73">
              <w:rPr>
                <w:color w:val="FF0000"/>
              </w:rPr>
              <w:t>(s)</w:t>
            </w:r>
            <w:r w:rsidR="007A432B">
              <w:t xml:space="preserve"> shall be equipped and operated with an oxidation catalytic converter to control </w:t>
            </w:r>
            <w:r w:rsidR="007A432B" w:rsidRPr="002C5B43">
              <w:rPr>
                <w:color w:val="FF0000"/>
              </w:rPr>
              <w:t>CO, VOC, and HAP</w:t>
            </w:r>
            <w:r w:rsidR="007A432B">
              <w:rPr>
                <w:color w:val="FF0000"/>
              </w:rPr>
              <w:t xml:space="preserve"> </w:t>
            </w:r>
            <w:r w:rsidR="007A432B" w:rsidRPr="002C5B43">
              <w:t>emissions</w:t>
            </w:r>
            <w:r w:rsidR="007A432B">
              <w:t>.</w:t>
            </w:r>
            <w:r w:rsidR="007A432B">
              <w:rPr>
                <w:rFonts w:eastAsia="MS Mincho"/>
                <w:color w:val="FF0000"/>
              </w:rPr>
              <w:t xml:space="preserve"> </w:t>
            </w:r>
            <w:r w:rsidR="00F47F4A">
              <w:rPr>
                <w:rFonts w:eastAsia="MS Mincho"/>
                <w:color w:val="FF0000"/>
              </w:rPr>
              <w:t xml:space="preserve"> </w:t>
            </w:r>
            <w:r w:rsidR="007A432B" w:rsidRPr="00176C22">
              <w:t>Engines equipped with oxidation catalysts are not required to operate with an AFR.</w:t>
            </w:r>
            <w:r w:rsidR="007A432B">
              <w:t xml:space="preserve"> </w:t>
            </w:r>
            <w:r w:rsidR="00F47F4A">
              <w:t xml:space="preserve"> </w:t>
            </w:r>
            <w:r w:rsidR="007A432B" w:rsidRPr="00F44860">
              <w:rPr>
                <w:b/>
              </w:rPr>
              <w:t>(Note</w:t>
            </w:r>
            <w:r w:rsidR="007A432B">
              <w:rPr>
                <w:b/>
              </w:rPr>
              <w:t>,</w:t>
            </w:r>
            <w:r w:rsidR="007A432B" w:rsidRPr="00F44860">
              <w:rPr>
                <w:b/>
              </w:rPr>
              <w:t xml:space="preserve"> this </w:t>
            </w:r>
            <w:r w:rsidR="007A432B">
              <w:rPr>
                <w:b/>
              </w:rPr>
              <w:t>last sentence should not be included if there is an add-on AFR</w:t>
            </w:r>
            <w:r w:rsidR="007A432B" w:rsidRPr="00F44860">
              <w:rPr>
                <w:b/>
              </w:rPr>
              <w:t>.)</w:t>
            </w:r>
            <w:r w:rsidR="007A432B">
              <w:t xml:space="preserve">  </w:t>
            </w:r>
          </w:p>
          <w:p w14:paraId="03B46E10" w14:textId="6A230825" w:rsidR="00EC015D" w:rsidRDefault="00873972" w:rsidP="000C1006">
            <w:pPr>
              <w:spacing w:before="120"/>
            </w:pPr>
            <w:r>
              <w:t>(</w:t>
            </w:r>
            <w:r w:rsidR="007A432B">
              <w:t>2) The unit</w:t>
            </w:r>
            <w:r w:rsidR="007A432B" w:rsidRPr="00483FFC">
              <w:rPr>
                <w:color w:val="FF0000"/>
              </w:rPr>
              <w:t>(s)</w:t>
            </w:r>
            <w:r w:rsidR="007A432B">
              <w:t xml:space="preserve"> shall be equipped and operated with a non-selective catalytic converter to control </w:t>
            </w:r>
            <w:r w:rsidR="007A432B">
              <w:rPr>
                <w:color w:val="FF0000"/>
              </w:rPr>
              <w:t>NOx, CO, and VOC</w:t>
            </w:r>
            <w:r w:rsidR="007A432B">
              <w:t xml:space="preserve"> emissions.</w:t>
            </w:r>
            <w:r w:rsidR="00F47F4A">
              <w:t xml:space="preserve"> </w:t>
            </w:r>
            <w:r w:rsidR="007A432B">
              <w:t xml:space="preserve"> These units shall also be equipped with an AFR controlling </w:t>
            </w:r>
            <w:r w:rsidR="007A432B">
              <w:lastRenderedPageBreak/>
              <w:t xml:space="preserve">device, or similar device that performs the same function of maintaining an appropriate air-fuel ratio. </w:t>
            </w:r>
          </w:p>
          <w:p w14:paraId="3BEEFC08" w14:textId="77777777" w:rsidR="007A432B" w:rsidRDefault="007A432B" w:rsidP="000C1006">
            <w:pPr>
              <w:spacing w:before="120"/>
            </w:pPr>
            <w:r>
              <w:t xml:space="preserve">The permittee shall maintain the units according to manufacturer’s or supplier’s recommended maintenance, including replacement of oxygen sensor as necessary for oxygen-based controllers. </w:t>
            </w:r>
          </w:p>
        </w:tc>
      </w:tr>
      <w:tr w:rsidR="007A432B" w14:paraId="082BD3F0" w14:textId="77777777" w:rsidTr="002F5018">
        <w:trPr>
          <w:jc w:val="center"/>
        </w:trPr>
        <w:tc>
          <w:tcPr>
            <w:tcW w:w="9360" w:type="dxa"/>
          </w:tcPr>
          <w:p w14:paraId="0856E214" w14:textId="5CFC5898" w:rsidR="007A432B" w:rsidRDefault="007A432B" w:rsidP="000C1006">
            <w:pPr>
              <w:spacing w:before="120"/>
            </w:pPr>
            <w:r>
              <w:rPr>
                <w:b/>
              </w:rPr>
              <w:lastRenderedPageBreak/>
              <w:t xml:space="preserve">Monitoring: </w:t>
            </w:r>
            <w:r>
              <w:t xml:space="preserve">The unit(s) shall be operated with the catalytic converter, </w:t>
            </w:r>
            <w:r w:rsidR="00F6789A">
              <w:t>which includes</w:t>
            </w:r>
            <w:r>
              <w:t xml:space="preserve"> catalyst maintenance periods.</w:t>
            </w:r>
            <w:r w:rsidR="00F47F4A">
              <w:t xml:space="preserve"> </w:t>
            </w:r>
            <w:r>
              <w:t xml:space="preserve"> During periods of catalyst maintenance, the permittee shall either (1) shut down the engine(s); or (2) replace the catalyst with a functionally equivalent spare to allow the engine to remain in operation.</w:t>
            </w:r>
          </w:p>
        </w:tc>
      </w:tr>
      <w:tr w:rsidR="007A432B" w14:paraId="688A498E" w14:textId="77777777" w:rsidTr="002F5018">
        <w:trPr>
          <w:jc w:val="center"/>
        </w:trPr>
        <w:tc>
          <w:tcPr>
            <w:tcW w:w="9360" w:type="dxa"/>
          </w:tcPr>
          <w:p w14:paraId="146E5A48" w14:textId="77777777" w:rsidR="007A432B" w:rsidRDefault="007A432B" w:rsidP="000C1006">
            <w:pPr>
              <w:spacing w:before="120"/>
            </w:pPr>
            <w:r>
              <w:rPr>
                <w:b/>
              </w:rPr>
              <w:t>Recordkeeping:</w:t>
            </w:r>
            <w:r>
              <w:t xml:space="preserve"> </w:t>
            </w:r>
            <w:r>
              <w:rPr>
                <w:rFonts w:eastAsia="MS Mincho"/>
              </w:rPr>
              <w:t>The permittee shall maintain r</w:t>
            </w:r>
            <w:r>
              <w:t>ecords in accordance with Section B109.</w:t>
            </w:r>
          </w:p>
        </w:tc>
      </w:tr>
      <w:tr w:rsidR="007A432B" w14:paraId="2E87AB3D" w14:textId="77777777" w:rsidTr="002F5018">
        <w:trPr>
          <w:jc w:val="center"/>
        </w:trPr>
        <w:tc>
          <w:tcPr>
            <w:tcW w:w="9360" w:type="dxa"/>
          </w:tcPr>
          <w:p w14:paraId="1C34BEC7" w14:textId="77777777" w:rsidR="007A432B" w:rsidRDefault="007A432B" w:rsidP="002F5018">
            <w:r>
              <w:rPr>
                <w:b/>
              </w:rPr>
              <w:t>Reporting:</w:t>
            </w:r>
            <w:r>
              <w:t xml:space="preserve"> The permittee shall report in accordance with Section B110.</w:t>
            </w:r>
          </w:p>
        </w:tc>
      </w:tr>
    </w:tbl>
    <w:p w14:paraId="25C11FEC" w14:textId="77777777" w:rsidR="007A432B" w:rsidRDefault="007A432B" w:rsidP="005A7DAA">
      <w:pPr>
        <w:pStyle w:val="AQBCLvl-1"/>
        <w:spacing w:before="240"/>
      </w:pPr>
      <w:r>
        <w:t xml:space="preserve">Air Fuel Ratio Operation (Unit(s) </w:t>
      </w:r>
      <w:r w:rsidRPr="00896D37">
        <w:rPr>
          <w:color w:val="FF0000"/>
        </w:rPr>
        <w:t>X, Y, and Z</w:t>
      </w:r>
      <w:r>
        <w:t xml:space="preserve">) </w:t>
      </w:r>
      <w:r w:rsidRPr="005A7DAA">
        <w:rPr>
          <w:color w:val="FF0000"/>
        </w:rPr>
        <w:t xml:space="preserve">[AFR </w:t>
      </w:r>
      <w:r>
        <w:rPr>
          <w:color w:val="FF0000"/>
        </w:rPr>
        <w:t xml:space="preserve">only - </w:t>
      </w:r>
      <w:r w:rsidRPr="005A7DAA">
        <w:rPr>
          <w:color w:val="FF0000"/>
        </w:rPr>
        <w:t>add on device, not integral to unit]</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593B0482" w14:textId="77777777" w:rsidTr="006067E8">
        <w:trPr>
          <w:jc w:val="center"/>
        </w:trPr>
        <w:tc>
          <w:tcPr>
            <w:tcW w:w="9360" w:type="dxa"/>
          </w:tcPr>
          <w:p w14:paraId="7CF275A0" w14:textId="77777777" w:rsidR="007A432B" w:rsidRDefault="007A432B" w:rsidP="000C1006">
            <w:pPr>
              <w:spacing w:before="120"/>
            </w:pPr>
            <w:r>
              <w:rPr>
                <w:b/>
              </w:rPr>
              <w:t xml:space="preserve">Requirement: </w:t>
            </w:r>
            <w:r w:rsidRPr="00A01F73">
              <w:rPr>
                <w:color w:val="FF0000"/>
              </w:rPr>
              <w:t>[</w:t>
            </w:r>
            <w:r>
              <w:rPr>
                <w:color w:val="FF0000"/>
              </w:rPr>
              <w:t>Include and r</w:t>
            </w:r>
            <w:r w:rsidRPr="00A01F73">
              <w:rPr>
                <w:color w:val="FF0000"/>
              </w:rPr>
              <w:t>evise requirement</w:t>
            </w:r>
            <w:r>
              <w:rPr>
                <w:color w:val="FF0000"/>
              </w:rPr>
              <w:t>(s) as necessary</w:t>
            </w:r>
            <w:r w:rsidRPr="00A01F73">
              <w:rPr>
                <w:color w:val="FF0000"/>
              </w:rPr>
              <w:t>]</w:t>
            </w:r>
            <w:r w:rsidRPr="00A01F73">
              <w:t>.</w:t>
            </w:r>
            <w:r>
              <w:t xml:space="preserve"> </w:t>
            </w:r>
          </w:p>
          <w:p w14:paraId="7C97739B" w14:textId="77777777" w:rsidR="007A432B" w:rsidRDefault="007A432B" w:rsidP="000C1006">
            <w:pPr>
              <w:spacing w:before="120"/>
            </w:pPr>
            <w:r>
              <w:t>The unit</w:t>
            </w:r>
            <w:r w:rsidRPr="00A01F73">
              <w:rPr>
                <w:color w:val="FF0000"/>
              </w:rPr>
              <w:t>(s)</w:t>
            </w:r>
            <w:r>
              <w:t xml:space="preserve"> shall be equipped and operated with an A</w:t>
            </w:r>
            <w:r w:rsidRPr="00CB0874">
              <w:t>FR controlling device</w:t>
            </w:r>
            <w:r>
              <w:t>, or similar device that performs the same function of maintaining an appropriate air-fuel ratio. The permittee shall d</w:t>
            </w:r>
            <w:r w:rsidRPr="00CB0874">
              <w:t>emonstrate that the man</w:t>
            </w:r>
            <w:r>
              <w:t xml:space="preserve">ufacturer's or supplier's recommended maintenance is performed, including replacement of oxygen sensor as necessary for oxygen-based controllers.  </w:t>
            </w:r>
          </w:p>
        </w:tc>
      </w:tr>
      <w:tr w:rsidR="007A432B" w14:paraId="6006DF3A" w14:textId="77777777" w:rsidTr="006067E8">
        <w:trPr>
          <w:jc w:val="center"/>
        </w:trPr>
        <w:tc>
          <w:tcPr>
            <w:tcW w:w="9360" w:type="dxa"/>
          </w:tcPr>
          <w:p w14:paraId="4828CB2A" w14:textId="77777777" w:rsidR="007A432B" w:rsidRDefault="007A432B" w:rsidP="000C1006">
            <w:pPr>
              <w:spacing w:before="120"/>
            </w:pPr>
            <w:r>
              <w:rPr>
                <w:b/>
              </w:rPr>
              <w:t xml:space="preserve">Monitoring: </w:t>
            </w:r>
            <w:r>
              <w:t xml:space="preserve">The unit(s) shall be operated with the AFR, </w:t>
            </w:r>
            <w:r w:rsidR="00F6789A">
              <w:t>which includes</w:t>
            </w:r>
            <w:r>
              <w:t xml:space="preserve"> maintenance periods. During periods of AFR maintenance, the permittee shall either (1) shut down the engine(s); or (2) replace the AFR with a functionally equivalent spare to allow the engine to remain in operation.</w:t>
            </w:r>
          </w:p>
        </w:tc>
      </w:tr>
      <w:tr w:rsidR="007A432B" w14:paraId="7D6A369B" w14:textId="77777777" w:rsidTr="006067E8">
        <w:trPr>
          <w:jc w:val="center"/>
        </w:trPr>
        <w:tc>
          <w:tcPr>
            <w:tcW w:w="9360" w:type="dxa"/>
          </w:tcPr>
          <w:p w14:paraId="02AE8D2A" w14:textId="77777777" w:rsidR="007A432B" w:rsidRDefault="007A432B" w:rsidP="000C1006">
            <w:pPr>
              <w:spacing w:before="120"/>
            </w:pPr>
            <w:r>
              <w:rPr>
                <w:b/>
              </w:rPr>
              <w:t>Recordkeeping:</w:t>
            </w:r>
            <w:r>
              <w:t xml:space="preserve"> </w:t>
            </w:r>
            <w:r>
              <w:rPr>
                <w:rFonts w:eastAsia="MS Mincho"/>
              </w:rPr>
              <w:t>The permittee shall maintain r</w:t>
            </w:r>
            <w:r>
              <w:t>ecords in accordance with Section B109</w:t>
            </w:r>
            <w:r w:rsidR="004F2E24">
              <w:rPr>
                <w:rFonts w:eastAsia="MS Mincho"/>
              </w:rPr>
              <w:t>, including a records of maintenance performed on AFR controllers and the manufacturer’s or suppliers’ recommended maintenance schedules for AFR Controllers</w:t>
            </w:r>
            <w:r>
              <w:t>.</w:t>
            </w:r>
          </w:p>
        </w:tc>
      </w:tr>
      <w:tr w:rsidR="007A432B" w14:paraId="0483FE21" w14:textId="77777777" w:rsidTr="006067E8">
        <w:trPr>
          <w:jc w:val="center"/>
        </w:trPr>
        <w:tc>
          <w:tcPr>
            <w:tcW w:w="9360" w:type="dxa"/>
          </w:tcPr>
          <w:p w14:paraId="6EBDDAE9" w14:textId="77777777" w:rsidR="007A432B" w:rsidRDefault="007A432B" w:rsidP="000C1006">
            <w:pPr>
              <w:spacing w:before="120"/>
            </w:pPr>
            <w:r>
              <w:rPr>
                <w:b/>
              </w:rPr>
              <w:t>Reporting:</w:t>
            </w:r>
            <w:r>
              <w:t xml:space="preserve"> The permittee shall report in accordance with Section B110.</w:t>
            </w:r>
          </w:p>
        </w:tc>
      </w:tr>
    </w:tbl>
    <w:p w14:paraId="56B8F79A" w14:textId="77777777" w:rsidR="007A432B" w:rsidRPr="0036674A" w:rsidRDefault="007A432B" w:rsidP="00103B27">
      <w:pPr>
        <w:pStyle w:val="AQBCLvl-1"/>
        <w:numPr>
          <w:ilvl w:val="0"/>
          <w:numId w:val="0"/>
        </w:numPr>
        <w:spacing w:before="240"/>
        <w:rPr>
          <w:color w:val="FF0000"/>
        </w:rPr>
      </w:pPr>
      <w:r w:rsidRPr="0036674A">
        <w:rPr>
          <w:b/>
          <w:color w:val="FF0000"/>
        </w:rPr>
        <w:t>[Not applicable if engine is authorized to operate continuously – 8760 hours per year]</w:t>
      </w:r>
    </w:p>
    <w:p w14:paraId="10FFB0F4" w14:textId="77777777" w:rsidR="007A432B" w:rsidRDefault="007A432B" w:rsidP="00103B27">
      <w:pPr>
        <w:pStyle w:val="AQBCLvl-1"/>
        <w:spacing w:before="240"/>
      </w:pPr>
      <w:r>
        <w:t xml:space="preserve">Hours of Operation (Unit(s) </w:t>
      </w:r>
      <w:r>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3D1E8DC6" w14:textId="77777777" w:rsidTr="002F5018">
        <w:trPr>
          <w:jc w:val="center"/>
        </w:trPr>
        <w:tc>
          <w:tcPr>
            <w:tcW w:w="9360" w:type="dxa"/>
          </w:tcPr>
          <w:p w14:paraId="3C344A98" w14:textId="2394F36F" w:rsidR="007A432B" w:rsidRDefault="007A432B" w:rsidP="000C1006">
            <w:pPr>
              <w:spacing w:before="120"/>
            </w:pPr>
            <w:r>
              <w:rPr>
                <w:b/>
              </w:rPr>
              <w:t xml:space="preserve">Requirement: </w:t>
            </w:r>
            <w:r>
              <w:t xml:space="preserve">To ensure compliance with allowable emission limits in Table </w:t>
            </w:r>
            <w:r w:rsidRPr="00377678">
              <w:rPr>
                <w:color w:val="FF0000"/>
              </w:rPr>
              <w:t>106.A</w:t>
            </w:r>
            <w:r>
              <w:t xml:space="preserve">, </w:t>
            </w:r>
            <w:r w:rsidRPr="00FF2F52">
              <w:rPr>
                <w:color w:val="FF0000"/>
              </w:rPr>
              <w:t>[insert requirement, for example</w:t>
            </w:r>
            <w:r w:rsidRPr="002D3E57">
              <w:rPr>
                <w:color w:val="FF0000"/>
              </w:rPr>
              <w:t xml:space="preserve"> </w:t>
            </w:r>
            <w:r w:rsidRPr="00821A34">
              <w:rPr>
                <w:color w:val="FF0000"/>
              </w:rPr>
              <w:t>only two of the three engines shall be operated at any one time</w:t>
            </w:r>
            <w:r w:rsidR="002D3E57" w:rsidRPr="005B48D8">
              <w:rPr>
                <w:color w:val="FF0000"/>
              </w:rPr>
              <w:t>]</w:t>
            </w:r>
            <w:r w:rsidRPr="00BA1EE9">
              <w:t>.</w:t>
            </w:r>
            <w:r>
              <w:t xml:space="preserve"> </w:t>
            </w:r>
          </w:p>
        </w:tc>
      </w:tr>
      <w:tr w:rsidR="007A432B" w14:paraId="0611AD05" w14:textId="77777777" w:rsidTr="002F5018">
        <w:trPr>
          <w:jc w:val="center"/>
        </w:trPr>
        <w:tc>
          <w:tcPr>
            <w:tcW w:w="9360" w:type="dxa"/>
          </w:tcPr>
          <w:p w14:paraId="5831B5A0" w14:textId="77777777" w:rsidR="007A432B" w:rsidRDefault="007A432B" w:rsidP="000C1006">
            <w:pPr>
              <w:spacing w:before="120"/>
            </w:pPr>
            <w:r>
              <w:rPr>
                <w:b/>
              </w:rPr>
              <w:t xml:space="preserve">Monitoring: </w:t>
            </w:r>
            <w:r>
              <w:t>The permittee shall monitor the dates and hours of operation for the units.</w:t>
            </w:r>
          </w:p>
        </w:tc>
      </w:tr>
      <w:tr w:rsidR="007A432B" w14:paraId="5230A4B6" w14:textId="77777777" w:rsidTr="002F5018">
        <w:trPr>
          <w:jc w:val="center"/>
        </w:trPr>
        <w:tc>
          <w:tcPr>
            <w:tcW w:w="9360" w:type="dxa"/>
          </w:tcPr>
          <w:p w14:paraId="6F274FE3" w14:textId="77777777" w:rsidR="007A432B" w:rsidRDefault="007A432B" w:rsidP="000C1006">
            <w:pPr>
              <w:spacing w:before="120"/>
            </w:pPr>
            <w:r>
              <w:rPr>
                <w:b/>
              </w:rPr>
              <w:t>Recordkeeping:</w:t>
            </w:r>
            <w:r>
              <w:t xml:space="preserve"> The permittee shall record the hours of operation daily</w:t>
            </w:r>
            <w:r w:rsidR="00E4219F">
              <w:t xml:space="preserve">, shall calculate and record the rolling 12-month total hours of operation, and shall </w:t>
            </w:r>
            <w:r>
              <w:t xml:space="preserve">meet the recordkeeping requirements in </w:t>
            </w:r>
            <w:r w:rsidRPr="00FA562D">
              <w:rPr>
                <w:rFonts w:eastAsia="MS Mincho"/>
              </w:rPr>
              <w:t>Section B109.</w:t>
            </w:r>
          </w:p>
        </w:tc>
      </w:tr>
      <w:tr w:rsidR="007A432B" w14:paraId="39B21A8A" w14:textId="77777777" w:rsidTr="002F5018">
        <w:trPr>
          <w:jc w:val="center"/>
        </w:trPr>
        <w:tc>
          <w:tcPr>
            <w:tcW w:w="9360" w:type="dxa"/>
          </w:tcPr>
          <w:p w14:paraId="2F2BADAA" w14:textId="77777777" w:rsidR="007A432B" w:rsidRDefault="007A432B" w:rsidP="000C1006">
            <w:pPr>
              <w:spacing w:before="120"/>
            </w:pPr>
            <w:r>
              <w:rPr>
                <w:b/>
              </w:rPr>
              <w:t>Reporting:</w:t>
            </w:r>
            <w:r>
              <w:t xml:space="preserve"> The permittee shall report in accordance with Section B110.</w:t>
            </w:r>
          </w:p>
        </w:tc>
      </w:tr>
    </w:tbl>
    <w:p w14:paraId="00B0FA6D" w14:textId="77777777" w:rsidR="007A432B" w:rsidRDefault="007A432B" w:rsidP="00103B27">
      <w:pPr>
        <w:pStyle w:val="AQBCLvl-1"/>
        <w:spacing w:before="240"/>
      </w:pPr>
      <w:r>
        <w:t xml:space="preserve">Engine RPM (Unit(s) </w:t>
      </w:r>
      <w:r>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7CC321B8" w14:textId="77777777" w:rsidTr="002F5018">
        <w:trPr>
          <w:jc w:val="center"/>
        </w:trPr>
        <w:tc>
          <w:tcPr>
            <w:tcW w:w="9360" w:type="dxa"/>
          </w:tcPr>
          <w:p w14:paraId="2083D65B" w14:textId="77777777" w:rsidR="007A432B" w:rsidRDefault="007A432B" w:rsidP="000C1006">
            <w:pPr>
              <w:spacing w:before="120"/>
            </w:pPr>
            <w:r>
              <w:rPr>
                <w:b/>
              </w:rPr>
              <w:t xml:space="preserve">Requirement: </w:t>
            </w:r>
            <w:r w:rsidRPr="00EA393A">
              <w:rPr>
                <w:color w:val="FF0000"/>
              </w:rPr>
              <w:t>[Insert operational requirement, for example]</w:t>
            </w:r>
            <w:r>
              <w:rPr>
                <w:b/>
              </w:rPr>
              <w:t xml:space="preserve"> </w:t>
            </w:r>
            <w:r w:rsidRPr="00EA393A">
              <w:t>The unit</w:t>
            </w:r>
            <w:r>
              <w:rPr>
                <w:b/>
              </w:rPr>
              <w:t xml:space="preserve"> </w:t>
            </w:r>
            <w:r w:rsidRPr="00222AC7">
              <w:t xml:space="preserve">shall be attached to a </w:t>
            </w:r>
            <w:r w:rsidRPr="00EA393A">
              <w:rPr>
                <w:color w:val="FF0000"/>
              </w:rPr>
              <w:lastRenderedPageBreak/>
              <w:t>[insert make/model]</w:t>
            </w:r>
            <w:r>
              <w:t xml:space="preserve"> </w:t>
            </w:r>
            <w:r w:rsidRPr="00222AC7">
              <w:t xml:space="preserve">compressor that physically limits </w:t>
            </w:r>
            <w:r>
              <w:t xml:space="preserve">the engine speed to </w:t>
            </w:r>
            <w:r w:rsidRPr="005A3176">
              <w:rPr>
                <w:color w:val="FF0000"/>
              </w:rPr>
              <w:t>XXX</w:t>
            </w:r>
            <w:r>
              <w:t xml:space="preserve"> RPM.</w:t>
            </w:r>
          </w:p>
        </w:tc>
      </w:tr>
      <w:tr w:rsidR="007A432B" w14:paraId="2281DA63" w14:textId="77777777" w:rsidTr="002F5018">
        <w:trPr>
          <w:jc w:val="center"/>
        </w:trPr>
        <w:tc>
          <w:tcPr>
            <w:tcW w:w="9360" w:type="dxa"/>
          </w:tcPr>
          <w:p w14:paraId="64F1922E" w14:textId="77777777" w:rsidR="007A432B" w:rsidRDefault="007A432B" w:rsidP="000C1006">
            <w:pPr>
              <w:spacing w:before="120"/>
            </w:pPr>
            <w:r>
              <w:rPr>
                <w:b/>
              </w:rPr>
              <w:lastRenderedPageBreak/>
              <w:t xml:space="preserve">Monitoring: </w:t>
            </w:r>
            <w:r>
              <w:t>Once each 12 months, the permittee shall verify that the unit</w:t>
            </w:r>
            <w:r w:rsidRPr="00D563F6">
              <w:rPr>
                <w:color w:val="0000FF"/>
              </w:rPr>
              <w:t xml:space="preserve"> </w:t>
            </w:r>
            <w:r>
              <w:t>is attached to the make and model of the compressor specified above.</w:t>
            </w:r>
          </w:p>
        </w:tc>
      </w:tr>
      <w:tr w:rsidR="007A432B" w14:paraId="608DDE9C" w14:textId="77777777" w:rsidTr="002F5018">
        <w:trPr>
          <w:jc w:val="center"/>
        </w:trPr>
        <w:tc>
          <w:tcPr>
            <w:tcW w:w="9360" w:type="dxa"/>
          </w:tcPr>
          <w:p w14:paraId="6AA3BC1D" w14:textId="77777777" w:rsidR="007A432B" w:rsidRDefault="007A432B" w:rsidP="000C1006">
            <w:pPr>
              <w:spacing w:before="120"/>
            </w:pPr>
            <w:r>
              <w:rPr>
                <w:b/>
              </w:rPr>
              <w:t>Recordkeeping:</w:t>
            </w:r>
            <w:r>
              <w:t xml:space="preserve"> The permittee shall maintain records of the annual monitoring and maintain manufacturer’s documentation on file that shows the make, model, and maximum design speed of the compressor attached to </w:t>
            </w:r>
            <w:r w:rsidRPr="00EA393A">
              <w:t>the unit.</w:t>
            </w:r>
          </w:p>
          <w:p w14:paraId="26748E90" w14:textId="77777777" w:rsidR="007A432B" w:rsidRDefault="007A432B" w:rsidP="000C1006">
            <w:pPr>
              <w:spacing w:before="120"/>
            </w:pPr>
            <w:r w:rsidRPr="00FA562D">
              <w:t xml:space="preserve">The permittee shall maintain records in accordance with </w:t>
            </w:r>
            <w:r w:rsidRPr="00FA562D">
              <w:rPr>
                <w:rFonts w:eastAsia="MS Mincho"/>
              </w:rPr>
              <w:t>Section B109.</w:t>
            </w:r>
          </w:p>
        </w:tc>
      </w:tr>
      <w:tr w:rsidR="007A432B" w14:paraId="0AB25F47" w14:textId="77777777" w:rsidTr="002F5018">
        <w:trPr>
          <w:jc w:val="center"/>
        </w:trPr>
        <w:tc>
          <w:tcPr>
            <w:tcW w:w="9360" w:type="dxa"/>
          </w:tcPr>
          <w:p w14:paraId="3DA1FEA2" w14:textId="77777777" w:rsidR="007A432B" w:rsidRDefault="007A432B" w:rsidP="000C1006">
            <w:pPr>
              <w:spacing w:before="120"/>
            </w:pPr>
            <w:r>
              <w:rPr>
                <w:b/>
              </w:rPr>
              <w:t>Reporting:</w:t>
            </w:r>
            <w:r>
              <w:t xml:space="preserve"> The permittee shall report in accordance with Section B110.</w:t>
            </w:r>
          </w:p>
        </w:tc>
      </w:tr>
    </w:tbl>
    <w:p w14:paraId="77FDD2C6" w14:textId="77777777" w:rsidR="007A432B" w:rsidRDefault="007A432B" w:rsidP="00103B27">
      <w:pPr>
        <w:pStyle w:val="AQBCLvl-1"/>
        <w:spacing w:before="240"/>
      </w:pPr>
      <w:r>
        <w:t>RPM governor or RPM limit switch</w:t>
      </w:r>
      <w:r>
        <w:rPr>
          <w:rFonts w:eastAsia="MS Mincho"/>
        </w:rPr>
        <w:t xml:space="preserve"> </w:t>
      </w:r>
      <w:r>
        <w:t xml:space="preserve">(Unit(s) </w:t>
      </w:r>
      <w:r>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15438123" w14:textId="77777777" w:rsidTr="002F5018">
        <w:trPr>
          <w:jc w:val="center"/>
        </w:trPr>
        <w:tc>
          <w:tcPr>
            <w:tcW w:w="9360" w:type="dxa"/>
          </w:tcPr>
          <w:p w14:paraId="5F8BE7AB" w14:textId="74717BB8" w:rsidR="007A432B" w:rsidRDefault="007A432B" w:rsidP="000C1006">
            <w:pPr>
              <w:spacing w:before="120"/>
            </w:pPr>
            <w:r>
              <w:rPr>
                <w:b/>
              </w:rPr>
              <w:t xml:space="preserve">Requirement: </w:t>
            </w:r>
            <w:r w:rsidRPr="006B44C6">
              <w:t>The permittee shall install and operate an RPM governor or RPM limit switch, each with a tamper resistant seal</w:t>
            </w:r>
            <w:r w:rsidR="00522877">
              <w:t>.</w:t>
            </w:r>
          </w:p>
        </w:tc>
      </w:tr>
      <w:tr w:rsidR="007A432B" w14:paraId="623DF6E9" w14:textId="77777777" w:rsidTr="002F5018">
        <w:trPr>
          <w:jc w:val="center"/>
        </w:trPr>
        <w:tc>
          <w:tcPr>
            <w:tcW w:w="9360" w:type="dxa"/>
          </w:tcPr>
          <w:p w14:paraId="59BDD269" w14:textId="77777777" w:rsidR="007A432B" w:rsidRDefault="007A432B" w:rsidP="000C1006">
            <w:pPr>
              <w:spacing w:before="120"/>
            </w:pPr>
            <w:r>
              <w:rPr>
                <w:b/>
              </w:rPr>
              <w:t xml:space="preserve">Monitoring: </w:t>
            </w:r>
            <w:r>
              <w:t>The permittee shall check the proper function of the governor or limit switch every 12 months.</w:t>
            </w:r>
          </w:p>
        </w:tc>
      </w:tr>
      <w:tr w:rsidR="007A432B" w14:paraId="764B59A4" w14:textId="77777777" w:rsidTr="002F5018">
        <w:trPr>
          <w:jc w:val="center"/>
        </w:trPr>
        <w:tc>
          <w:tcPr>
            <w:tcW w:w="9360" w:type="dxa"/>
          </w:tcPr>
          <w:p w14:paraId="7E3630A4" w14:textId="77777777" w:rsidR="007A432B" w:rsidRDefault="007A432B" w:rsidP="000C1006">
            <w:pPr>
              <w:spacing w:before="120"/>
            </w:pPr>
            <w:r>
              <w:rPr>
                <w:b/>
              </w:rPr>
              <w:t>Recordkeeping:</w:t>
            </w:r>
            <w:r>
              <w:t xml:space="preserve"> The permittee shall maintain records of the annual monitoring and documentation of the RPM governor or limit switch with seal.</w:t>
            </w:r>
          </w:p>
          <w:p w14:paraId="7FF50846" w14:textId="77777777" w:rsidR="007A432B" w:rsidRDefault="007A432B" w:rsidP="000C1006">
            <w:pPr>
              <w:spacing w:before="120"/>
            </w:pPr>
            <w:r w:rsidRPr="00FA562D">
              <w:t xml:space="preserve">The permittee shall maintain records in accordance with </w:t>
            </w:r>
            <w:r w:rsidRPr="00FA562D">
              <w:rPr>
                <w:rFonts w:eastAsia="MS Mincho"/>
              </w:rPr>
              <w:t>Section B109.</w:t>
            </w:r>
          </w:p>
        </w:tc>
      </w:tr>
      <w:tr w:rsidR="007A432B" w14:paraId="72EEA481" w14:textId="77777777" w:rsidTr="002F5018">
        <w:trPr>
          <w:jc w:val="center"/>
        </w:trPr>
        <w:tc>
          <w:tcPr>
            <w:tcW w:w="9360" w:type="dxa"/>
          </w:tcPr>
          <w:p w14:paraId="43BADE4A" w14:textId="77777777" w:rsidR="007A432B" w:rsidRDefault="007A432B" w:rsidP="000C1006">
            <w:pPr>
              <w:spacing w:before="120"/>
            </w:pPr>
            <w:r>
              <w:rPr>
                <w:b/>
              </w:rPr>
              <w:t>Reporting:</w:t>
            </w:r>
            <w:r>
              <w:t xml:space="preserve"> The permittee shall report in accordance with Section B110.</w:t>
            </w:r>
          </w:p>
        </w:tc>
      </w:tr>
    </w:tbl>
    <w:p w14:paraId="4829F115" w14:textId="77777777" w:rsidR="007A432B" w:rsidRDefault="007A432B" w:rsidP="00103B27">
      <w:pPr>
        <w:pStyle w:val="AQBCLvl-1"/>
        <w:spacing w:before="240"/>
      </w:pPr>
      <w:r>
        <w:t xml:space="preserve">Fuel Flow Rate (Unit(s) </w:t>
      </w:r>
      <w:r>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3FF11A44" w14:textId="77777777" w:rsidTr="002F5018">
        <w:trPr>
          <w:jc w:val="center"/>
        </w:trPr>
        <w:tc>
          <w:tcPr>
            <w:tcW w:w="9360" w:type="dxa"/>
          </w:tcPr>
          <w:p w14:paraId="0C12952A" w14:textId="77777777" w:rsidR="007A432B" w:rsidRDefault="007A432B" w:rsidP="000C1006">
            <w:pPr>
              <w:spacing w:before="120"/>
            </w:pPr>
            <w:r>
              <w:rPr>
                <w:b/>
              </w:rPr>
              <w:t xml:space="preserve">Requirement: </w:t>
            </w:r>
            <w:r w:rsidRPr="00596494">
              <w:rPr>
                <w:color w:val="FF0000"/>
              </w:rPr>
              <w:t>[Add Operational Req.]</w:t>
            </w:r>
          </w:p>
        </w:tc>
      </w:tr>
      <w:tr w:rsidR="007A432B" w14:paraId="75C41176" w14:textId="77777777" w:rsidTr="002F5018">
        <w:trPr>
          <w:jc w:val="center"/>
        </w:trPr>
        <w:tc>
          <w:tcPr>
            <w:tcW w:w="9360" w:type="dxa"/>
          </w:tcPr>
          <w:p w14:paraId="1F896A69" w14:textId="77777777" w:rsidR="007A432B" w:rsidRDefault="007A432B" w:rsidP="000C1006">
            <w:pPr>
              <w:spacing w:before="120"/>
            </w:pPr>
            <w:r>
              <w:rPr>
                <w:b/>
              </w:rPr>
              <w:t xml:space="preserve">Monitoring: </w:t>
            </w:r>
            <w:r>
              <w:t xml:space="preserve">The permittee shall record the fuel flow/consumption for each unit (or for group of units if not available for each unit) once every 24 hours.  </w:t>
            </w:r>
          </w:p>
        </w:tc>
      </w:tr>
      <w:tr w:rsidR="007A432B" w14:paraId="4B8631D4" w14:textId="77777777" w:rsidTr="002F5018">
        <w:trPr>
          <w:jc w:val="center"/>
        </w:trPr>
        <w:tc>
          <w:tcPr>
            <w:tcW w:w="9360" w:type="dxa"/>
          </w:tcPr>
          <w:p w14:paraId="7DDEDB77" w14:textId="77777777" w:rsidR="007A432B" w:rsidRDefault="007A432B" w:rsidP="000C1006">
            <w:pPr>
              <w:spacing w:before="120"/>
            </w:pPr>
            <w:r>
              <w:rPr>
                <w:b/>
              </w:rPr>
              <w:t>Recordkeeping:</w:t>
            </w:r>
            <w:r>
              <w:t xml:space="preserve"> Each month, the permittee shall calculate and record the average fuel flow rate.  </w:t>
            </w:r>
          </w:p>
          <w:p w14:paraId="69967151" w14:textId="77777777" w:rsidR="007A432B" w:rsidRDefault="007A432B" w:rsidP="000C1006">
            <w:pPr>
              <w:spacing w:before="120"/>
            </w:pPr>
            <w:r w:rsidRPr="00FA562D">
              <w:t xml:space="preserve">The permittee shall maintain records in accordance with </w:t>
            </w:r>
            <w:r w:rsidRPr="00FA562D">
              <w:rPr>
                <w:rFonts w:eastAsia="MS Mincho"/>
              </w:rPr>
              <w:t>Section B109.</w:t>
            </w:r>
          </w:p>
        </w:tc>
      </w:tr>
      <w:tr w:rsidR="007A432B" w14:paraId="059D368A" w14:textId="77777777" w:rsidTr="002F5018">
        <w:trPr>
          <w:jc w:val="center"/>
        </w:trPr>
        <w:tc>
          <w:tcPr>
            <w:tcW w:w="9360" w:type="dxa"/>
          </w:tcPr>
          <w:p w14:paraId="76326017" w14:textId="77777777" w:rsidR="007A432B" w:rsidRDefault="007A432B" w:rsidP="000C1006">
            <w:pPr>
              <w:spacing w:before="120"/>
            </w:pPr>
            <w:r>
              <w:rPr>
                <w:b/>
              </w:rPr>
              <w:t>Reporting:</w:t>
            </w:r>
            <w:r>
              <w:t xml:space="preserve"> The permittee shall report in accordance with Section B110.</w:t>
            </w:r>
          </w:p>
        </w:tc>
      </w:tr>
    </w:tbl>
    <w:p w14:paraId="7B41FA10" w14:textId="77777777" w:rsidR="007A432B" w:rsidRPr="008E670C" w:rsidRDefault="007A432B" w:rsidP="00103B27">
      <w:pPr>
        <w:pStyle w:val="AQBLvl-1Condition"/>
        <w:tabs>
          <w:tab w:val="clear" w:pos="936"/>
        </w:tabs>
        <w:spacing w:before="240"/>
        <w:ind w:left="0" w:firstLine="0"/>
        <w:rPr>
          <w:bCs/>
          <w:color w:val="FF0000"/>
        </w:rPr>
      </w:pPr>
      <w:r w:rsidRPr="008E670C">
        <w:rPr>
          <w:b/>
          <w:bCs/>
          <w:color w:val="FF0000"/>
        </w:rPr>
        <w:t xml:space="preserve">[Fuel analysis is not required for facilities that certify the use of natural gas in the permit application unless HAPs are an issue. Fuel Analysis </w:t>
      </w:r>
      <w:r w:rsidR="009E269D">
        <w:rPr>
          <w:b/>
          <w:bCs/>
          <w:color w:val="FF0000"/>
        </w:rPr>
        <w:t xml:space="preserve">may be </w:t>
      </w:r>
      <w:r w:rsidRPr="008E670C">
        <w:rPr>
          <w:b/>
          <w:bCs/>
          <w:color w:val="FF0000"/>
        </w:rPr>
        <w:t>required for facilities that use field natural gas.]</w:t>
      </w:r>
    </w:p>
    <w:p w14:paraId="2D231EEA" w14:textId="77777777" w:rsidR="007A432B" w:rsidRDefault="007A432B" w:rsidP="00103B27">
      <w:pPr>
        <w:pStyle w:val="AQBCLvl-1"/>
        <w:spacing w:before="240"/>
      </w:pPr>
      <w:r>
        <w:t xml:space="preserve">Fuel Content (Unit(s) </w:t>
      </w:r>
      <w:r>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57ADEAA4" w14:textId="77777777" w:rsidTr="002F5018">
        <w:trPr>
          <w:jc w:val="center"/>
        </w:trPr>
        <w:tc>
          <w:tcPr>
            <w:tcW w:w="9360" w:type="dxa"/>
          </w:tcPr>
          <w:p w14:paraId="3765CE73" w14:textId="77777777" w:rsidR="007A432B" w:rsidRDefault="007A432B" w:rsidP="000C1006">
            <w:pPr>
              <w:spacing w:before="120"/>
            </w:pPr>
            <w:r>
              <w:rPr>
                <w:b/>
              </w:rPr>
              <w:t xml:space="preserve">Requirement: </w:t>
            </w:r>
            <w:r>
              <w:t>The permittee shall perform a fuel analysis at least every six months by methods acceptable to NMED.</w:t>
            </w:r>
          </w:p>
        </w:tc>
      </w:tr>
      <w:tr w:rsidR="007A432B" w14:paraId="5BA4D159" w14:textId="77777777" w:rsidTr="002F5018">
        <w:trPr>
          <w:jc w:val="center"/>
        </w:trPr>
        <w:tc>
          <w:tcPr>
            <w:tcW w:w="9360" w:type="dxa"/>
          </w:tcPr>
          <w:p w14:paraId="460F7FC0" w14:textId="77777777" w:rsidR="007A432B" w:rsidRDefault="007A432B" w:rsidP="000C1006">
            <w:pPr>
              <w:spacing w:before="120"/>
            </w:pPr>
            <w:r>
              <w:rPr>
                <w:b/>
              </w:rPr>
              <w:t xml:space="preserve">Monitoring: </w:t>
            </w:r>
            <w:r>
              <w:t>At a minimum, this analysis or test method shall include H</w:t>
            </w:r>
            <w:r>
              <w:rPr>
                <w:vertAlign w:val="subscript"/>
              </w:rPr>
              <w:t>2</w:t>
            </w:r>
            <w:r>
              <w:t xml:space="preserve">S, moisture, VOC, and a thermal heating value in BTU for the fuel.  </w:t>
            </w:r>
          </w:p>
        </w:tc>
      </w:tr>
      <w:tr w:rsidR="007A432B" w14:paraId="6BB34CE4" w14:textId="77777777" w:rsidTr="002F5018">
        <w:trPr>
          <w:jc w:val="center"/>
        </w:trPr>
        <w:tc>
          <w:tcPr>
            <w:tcW w:w="9360" w:type="dxa"/>
          </w:tcPr>
          <w:p w14:paraId="5D00330C" w14:textId="77777777" w:rsidR="007A432B" w:rsidRDefault="007A432B" w:rsidP="000C1006">
            <w:pPr>
              <w:spacing w:before="120"/>
            </w:pPr>
            <w:r>
              <w:rPr>
                <w:b/>
              </w:rPr>
              <w:t>Recordkeeping:</w:t>
            </w:r>
            <w:r>
              <w:t xml:space="preserve"> </w:t>
            </w:r>
            <w:r>
              <w:rPr>
                <w:rFonts w:eastAsia="MS Mincho"/>
              </w:rPr>
              <w:t>The permittee shall maintain r</w:t>
            </w:r>
            <w:r>
              <w:t>ecords in accordance with Section B109.</w:t>
            </w:r>
          </w:p>
        </w:tc>
      </w:tr>
      <w:tr w:rsidR="007A432B" w14:paraId="1C47A8BF" w14:textId="77777777" w:rsidTr="002F5018">
        <w:trPr>
          <w:jc w:val="center"/>
        </w:trPr>
        <w:tc>
          <w:tcPr>
            <w:tcW w:w="9360" w:type="dxa"/>
          </w:tcPr>
          <w:p w14:paraId="5899B87E" w14:textId="77777777" w:rsidR="007A432B" w:rsidRDefault="007A432B" w:rsidP="000C1006">
            <w:pPr>
              <w:spacing w:before="120"/>
            </w:pPr>
            <w:r>
              <w:rPr>
                <w:b/>
              </w:rPr>
              <w:t>Reporting:</w:t>
            </w:r>
            <w:r>
              <w:t xml:space="preserve"> The permittee shall report in accordance with Section B110.</w:t>
            </w:r>
          </w:p>
        </w:tc>
      </w:tr>
    </w:tbl>
    <w:p w14:paraId="04215B3E" w14:textId="77777777" w:rsidR="007A432B" w:rsidRDefault="007A432B" w:rsidP="00103B27">
      <w:pPr>
        <w:pStyle w:val="AQBCLvl-1"/>
        <w:spacing w:before="240"/>
        <w:ind w:left="1123"/>
      </w:pPr>
      <w:r>
        <w:lastRenderedPageBreak/>
        <w:t xml:space="preserve">40 CFR 60, Subpart JJJJ (Unit(s) </w:t>
      </w:r>
      <w:r>
        <w:rPr>
          <w:color w:val="FF0000"/>
        </w:rPr>
        <w:t>X, Y, and Z</w:t>
      </w:r>
      <w:r>
        <w:t xml:space="preserve">) </w:t>
      </w:r>
      <w:bookmarkStart w:id="3" w:name="OLE_LINK1"/>
      <w:bookmarkStart w:id="4" w:name="OLE_LINK2"/>
      <w:r w:rsidR="00F30C84" w:rsidRPr="002231CC">
        <w:rPr>
          <w:b/>
          <w:color w:val="FF0000"/>
        </w:rPr>
        <w:t xml:space="preserve">[already installed units or when applicability is known] </w:t>
      </w:r>
      <w:r w:rsidR="00EC46AF" w:rsidRPr="002231CC">
        <w:rPr>
          <w:color w:val="FF0000"/>
        </w:rPr>
        <w:t>[</w:t>
      </w:r>
      <w:r w:rsidR="00F724C3" w:rsidRPr="002231CC">
        <w:rPr>
          <w:b/>
          <w:color w:val="FF0000"/>
        </w:rPr>
        <w:t xml:space="preserve">Note for </w:t>
      </w:r>
      <w:proofErr w:type="spellStart"/>
      <w:r w:rsidR="00F724C3" w:rsidRPr="002231CC">
        <w:rPr>
          <w:b/>
          <w:color w:val="FF0000"/>
        </w:rPr>
        <w:t>SoB</w:t>
      </w:r>
      <w:proofErr w:type="spellEnd"/>
      <w:r w:rsidR="00F724C3" w:rsidRPr="002231CC">
        <w:rPr>
          <w:b/>
          <w:color w:val="FF0000"/>
        </w:rPr>
        <w:t>:</w:t>
      </w:r>
      <w:r w:rsidR="00F724C3">
        <w:rPr>
          <w:color w:val="FF0000"/>
        </w:rPr>
        <w:t xml:space="preserve"> </w:t>
      </w:r>
      <w:r w:rsidR="00EC46AF" w:rsidRPr="002231CC">
        <w:rPr>
          <w:color w:val="FF0000"/>
        </w:rPr>
        <w:t xml:space="preserve">Engines with Exterran EICS </w:t>
      </w:r>
      <w:r w:rsidR="00C93DC1" w:rsidRPr="002231CC">
        <w:rPr>
          <w:color w:val="FF0000"/>
        </w:rPr>
        <w:t>are considered non-certified engines (see 40 CFR 60.4243)]</w:t>
      </w:r>
      <w:r w:rsidR="00C93DC1">
        <w:t xml:space="preserve"> </w:t>
      </w:r>
      <w:bookmarkEnd w:id="3"/>
      <w:bookmarkEnd w:id="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775D1ED8" w14:textId="77777777" w:rsidTr="002F5018">
        <w:trPr>
          <w:jc w:val="center"/>
        </w:trPr>
        <w:tc>
          <w:tcPr>
            <w:tcW w:w="9360" w:type="dxa"/>
          </w:tcPr>
          <w:p w14:paraId="0EB60150" w14:textId="77777777" w:rsidR="007A432B" w:rsidRDefault="007A432B" w:rsidP="000C1006">
            <w:pPr>
              <w:pStyle w:val="AQBTCondition"/>
              <w:spacing w:before="120"/>
            </w:pPr>
            <w:r>
              <w:rPr>
                <w:b/>
              </w:rPr>
              <w:t xml:space="preserve">Requirement: </w:t>
            </w:r>
            <w:r>
              <w:t>The unit</w:t>
            </w:r>
            <w:r w:rsidRPr="00AD229D">
              <w:rPr>
                <w:color w:val="FF0000"/>
              </w:rPr>
              <w:t>(s)</w:t>
            </w:r>
            <w:r>
              <w:rPr>
                <w:color w:val="0000FF"/>
              </w:rPr>
              <w:t xml:space="preserve"> </w:t>
            </w:r>
            <w:r w:rsidRPr="00166216">
              <w:rPr>
                <w:color w:val="FF0000"/>
              </w:rPr>
              <w:t>is/are</w:t>
            </w:r>
            <w:r>
              <w:t xml:space="preserve"> subject to 40 CFR 60, Subparts A and JJJJ and shall comply with the notification requirements in Subpart A and the specific requirements of Subpart JJJJ.</w:t>
            </w:r>
          </w:p>
        </w:tc>
      </w:tr>
      <w:tr w:rsidR="007A432B" w14:paraId="0E629D0C" w14:textId="77777777" w:rsidTr="002F5018">
        <w:trPr>
          <w:jc w:val="center"/>
        </w:trPr>
        <w:tc>
          <w:tcPr>
            <w:tcW w:w="9360" w:type="dxa"/>
          </w:tcPr>
          <w:p w14:paraId="4A753AEE" w14:textId="77777777" w:rsidR="007A432B" w:rsidRDefault="007A432B" w:rsidP="000C1006">
            <w:pPr>
              <w:pStyle w:val="AQBTCondition"/>
              <w:spacing w:before="120"/>
            </w:pPr>
            <w:r>
              <w:rPr>
                <w:b/>
              </w:rPr>
              <w:t>Monitoring:</w:t>
            </w:r>
            <w:r>
              <w:t xml:space="preserve"> The permittee shall comply with all applicable monitoring requirements in 40 CFR 60, Subpart A and Subpart JJJJ, including but not limited to 60.4243.</w:t>
            </w:r>
          </w:p>
        </w:tc>
      </w:tr>
      <w:tr w:rsidR="007A432B" w14:paraId="5367A27D" w14:textId="77777777" w:rsidTr="002F5018">
        <w:trPr>
          <w:jc w:val="center"/>
        </w:trPr>
        <w:tc>
          <w:tcPr>
            <w:tcW w:w="9360" w:type="dxa"/>
          </w:tcPr>
          <w:p w14:paraId="782F8E01" w14:textId="77777777" w:rsidR="007A432B" w:rsidRDefault="007A432B" w:rsidP="000C1006">
            <w:pPr>
              <w:pStyle w:val="ConditionIndent"/>
              <w:tabs>
                <w:tab w:val="clear" w:pos="1440"/>
              </w:tabs>
              <w:spacing w:before="120"/>
              <w:ind w:left="0" w:firstLine="0"/>
            </w:pPr>
            <w:r>
              <w:rPr>
                <w:b/>
              </w:rPr>
              <w:t>Recordkeeping:</w:t>
            </w:r>
            <w:r>
              <w:t xml:space="preserve">  The permittee shall comply with all applicable recordkeeping requirements in 40 CFR 60, Subpart A and Subpart JJJJ, including but not limited to 60.4245.</w:t>
            </w:r>
          </w:p>
        </w:tc>
      </w:tr>
      <w:tr w:rsidR="007A432B" w14:paraId="05F895A5" w14:textId="77777777" w:rsidTr="002F5018">
        <w:trPr>
          <w:jc w:val="center"/>
        </w:trPr>
        <w:tc>
          <w:tcPr>
            <w:tcW w:w="9360" w:type="dxa"/>
          </w:tcPr>
          <w:p w14:paraId="49D1856D" w14:textId="77777777" w:rsidR="007A432B" w:rsidRDefault="007A432B" w:rsidP="000C1006">
            <w:pPr>
              <w:pStyle w:val="AQBTCondition"/>
              <w:spacing w:before="120"/>
            </w:pPr>
            <w:r>
              <w:rPr>
                <w:b/>
              </w:rPr>
              <w:t>Reporting:</w:t>
            </w:r>
            <w:r>
              <w:t xml:space="preserve"> The permittee shall comply with all applicable reporting requirements in 40 CFR 60, Subpart A and Subpart JJJJ, including but not limited to 60.4245.</w:t>
            </w:r>
          </w:p>
        </w:tc>
      </w:tr>
    </w:tbl>
    <w:p w14:paraId="2C9195C3" w14:textId="77777777" w:rsidR="007A432B" w:rsidRDefault="007A432B" w:rsidP="00103B27">
      <w:pPr>
        <w:pStyle w:val="AQBCLvl-1"/>
        <w:spacing w:before="240"/>
      </w:pPr>
      <w:r>
        <w:t xml:space="preserve">40 CFR 60, Subpart JJJJ (Unit(s) </w:t>
      </w:r>
      <w:r w:rsidRPr="006B3293">
        <w:rPr>
          <w:color w:val="FF0000"/>
        </w:rPr>
        <w:t>X, Y, and Z</w:t>
      </w:r>
      <w:r>
        <w:t xml:space="preserve">) </w:t>
      </w:r>
      <w:r w:rsidRPr="006B3293">
        <w:rPr>
          <w:color w:val="FF0000"/>
        </w:rPr>
        <w:t>[To be installed units]</w:t>
      </w:r>
      <w:r w:rsidR="00C93DC1" w:rsidRPr="00C93DC1">
        <w:rPr>
          <w:color w:val="FF0000"/>
        </w:rPr>
        <w:t xml:space="preserve"> </w:t>
      </w:r>
      <w:r w:rsidR="00C93DC1" w:rsidRPr="00075200">
        <w:rPr>
          <w:color w:val="FF0000"/>
        </w:rPr>
        <w:t>[</w:t>
      </w:r>
      <w:r w:rsidR="00F724C3" w:rsidRPr="002231CC">
        <w:rPr>
          <w:b/>
          <w:color w:val="FF0000"/>
        </w:rPr>
        <w:t xml:space="preserve">Note for </w:t>
      </w:r>
      <w:proofErr w:type="spellStart"/>
      <w:r w:rsidR="00F724C3" w:rsidRPr="002231CC">
        <w:rPr>
          <w:b/>
          <w:color w:val="FF0000"/>
        </w:rPr>
        <w:t>SoB</w:t>
      </w:r>
      <w:proofErr w:type="spellEnd"/>
      <w:r w:rsidR="00F724C3" w:rsidRPr="002231CC">
        <w:rPr>
          <w:b/>
          <w:color w:val="FF0000"/>
        </w:rPr>
        <w:t>:</w:t>
      </w:r>
      <w:r w:rsidR="00F724C3">
        <w:rPr>
          <w:color w:val="FF0000"/>
        </w:rPr>
        <w:t xml:space="preserve"> </w:t>
      </w:r>
      <w:r w:rsidR="00C93DC1" w:rsidRPr="00075200">
        <w:rPr>
          <w:color w:val="FF0000"/>
        </w:rPr>
        <w:t>Engines with Exterran EICS are considered non-certified engines (see 40 CFR 60.4243)]</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5A0BE72B" w14:textId="77777777" w:rsidTr="002F5018">
        <w:trPr>
          <w:jc w:val="center"/>
        </w:trPr>
        <w:tc>
          <w:tcPr>
            <w:tcW w:w="9360" w:type="dxa"/>
          </w:tcPr>
          <w:p w14:paraId="682B23DE" w14:textId="77777777" w:rsidR="007A432B" w:rsidRDefault="007A432B" w:rsidP="000C1006">
            <w:pPr>
              <w:pStyle w:val="AQBTCondition"/>
              <w:spacing w:before="120"/>
            </w:pPr>
            <w:r>
              <w:rPr>
                <w:b/>
              </w:rPr>
              <w:t xml:space="preserve">Requirement: </w:t>
            </w:r>
            <w:r>
              <w:t>The unit</w:t>
            </w:r>
            <w:r w:rsidRPr="00D21A10">
              <w:rPr>
                <w:color w:val="FF0000"/>
              </w:rPr>
              <w:t>(s)</w:t>
            </w:r>
            <w:r>
              <w:rPr>
                <w:color w:val="0000FF"/>
              </w:rPr>
              <w:t xml:space="preserve"> </w:t>
            </w:r>
            <w:r>
              <w:t xml:space="preserve">will be subject to 40 CFR 60, Subparts A and JJJJ if the </w:t>
            </w:r>
            <w:r w:rsidR="00BF2BF8">
              <w:t xml:space="preserve">unit </w:t>
            </w:r>
            <w:r>
              <w:t>is constructed (ordered) and manufactured after the applicability dates in 40 CFR 60.4230 and the permittee shall comply with the notification requirements in Subpart A and the specific requirements of Subpart JJJJ.</w:t>
            </w:r>
          </w:p>
        </w:tc>
      </w:tr>
      <w:tr w:rsidR="007A432B" w14:paraId="27E91337" w14:textId="77777777" w:rsidTr="002F5018">
        <w:trPr>
          <w:jc w:val="center"/>
        </w:trPr>
        <w:tc>
          <w:tcPr>
            <w:tcW w:w="9360" w:type="dxa"/>
          </w:tcPr>
          <w:p w14:paraId="15B04F90" w14:textId="77777777" w:rsidR="007A432B" w:rsidRDefault="007A432B" w:rsidP="000C1006">
            <w:pPr>
              <w:pStyle w:val="AQBTCondition"/>
              <w:spacing w:before="120"/>
            </w:pPr>
            <w:r>
              <w:rPr>
                <w:b/>
              </w:rPr>
              <w:t>Monitoring:</w:t>
            </w:r>
            <w:r>
              <w:t xml:space="preserve"> The permittee shall comply with all applicable monitoring requirements in 40 CFR 60, Subpart A and Subpart JJJJ, including but not limited to 60.4243.</w:t>
            </w:r>
          </w:p>
        </w:tc>
      </w:tr>
      <w:tr w:rsidR="007A432B" w14:paraId="29496FD5" w14:textId="77777777" w:rsidTr="002F5018">
        <w:trPr>
          <w:jc w:val="center"/>
        </w:trPr>
        <w:tc>
          <w:tcPr>
            <w:tcW w:w="9360" w:type="dxa"/>
          </w:tcPr>
          <w:p w14:paraId="3392FEE5" w14:textId="77777777" w:rsidR="007A432B" w:rsidRDefault="007A432B" w:rsidP="000C1006">
            <w:pPr>
              <w:pStyle w:val="ConditionIndent"/>
              <w:tabs>
                <w:tab w:val="clear" w:pos="1440"/>
              </w:tabs>
              <w:spacing w:before="120"/>
              <w:ind w:left="0" w:firstLine="0"/>
            </w:pPr>
            <w:r>
              <w:rPr>
                <w:b/>
              </w:rPr>
              <w:t>Recordkeeping:</w:t>
            </w:r>
            <w:r>
              <w:t xml:space="preserve">  The permittee shall comply with all applicable recordkeeping requirements in 40 CFR 60, Subpart A and Subpart JJJJ, including but not limited to 60.4245.</w:t>
            </w:r>
          </w:p>
        </w:tc>
      </w:tr>
      <w:tr w:rsidR="007A432B" w14:paraId="118295E8" w14:textId="77777777" w:rsidTr="002F5018">
        <w:trPr>
          <w:jc w:val="center"/>
        </w:trPr>
        <w:tc>
          <w:tcPr>
            <w:tcW w:w="9360" w:type="dxa"/>
          </w:tcPr>
          <w:p w14:paraId="015413A7" w14:textId="77777777" w:rsidR="007A432B" w:rsidRDefault="007A432B" w:rsidP="000C1006">
            <w:pPr>
              <w:pStyle w:val="AQBTCondition"/>
              <w:spacing w:before="120"/>
            </w:pPr>
            <w:r>
              <w:rPr>
                <w:b/>
              </w:rPr>
              <w:t>Reporting:</w:t>
            </w:r>
            <w:r>
              <w:t xml:space="preserve"> The permittee shall comply with all applicable reporting requirements in 40 CFR 60, Subpart A and Subpart JJJJ, including but not limited to 60.4245.</w:t>
            </w:r>
          </w:p>
        </w:tc>
      </w:tr>
    </w:tbl>
    <w:p w14:paraId="59BDAD83" w14:textId="77777777" w:rsidR="007A432B" w:rsidRDefault="007A432B" w:rsidP="00710BC9"/>
    <w:p w14:paraId="5CB663D3" w14:textId="77777777" w:rsidR="007A432B" w:rsidRDefault="007A432B" w:rsidP="00D55345"/>
    <w:p w14:paraId="5C208718" w14:textId="77777777" w:rsidR="009D0A8C" w:rsidRDefault="009D0A8C" w:rsidP="009D0A8C">
      <w:r w:rsidRPr="00A45229">
        <w:rPr>
          <w:b/>
        </w:rPr>
        <w:t>Note Regarding 40 CFR 63, Subpart ZZZZ</w:t>
      </w:r>
      <w:r>
        <w:rPr>
          <w:b/>
        </w:rPr>
        <w:t>, engines with no applicable requirements.</w:t>
      </w:r>
    </w:p>
    <w:p w14:paraId="66EB7DB5" w14:textId="77777777" w:rsidR="009D0A8C" w:rsidRDefault="009D0A8C" w:rsidP="009D0A8C">
      <w:r w:rsidRPr="00D55345">
        <w:t xml:space="preserve">For </w:t>
      </w:r>
      <w:r>
        <w:t xml:space="preserve">an </w:t>
      </w:r>
      <w:r w:rsidRPr="00D55345">
        <w:t xml:space="preserve">engine that </w:t>
      </w:r>
      <w:r>
        <w:t>is</w:t>
      </w:r>
      <w:r w:rsidRPr="00D55345">
        <w:t xml:space="preserve"> subject to 40 CFR 63, Su</w:t>
      </w:r>
      <w:r>
        <w:t>bpart ZZZZ at §§</w:t>
      </w:r>
      <w:r w:rsidRPr="00D55345">
        <w:t>63.6585</w:t>
      </w:r>
      <w:r>
        <w:t xml:space="preserve"> and 6590(a)</w:t>
      </w:r>
      <w:r w:rsidRPr="00D55345">
        <w:t xml:space="preserve">, </w:t>
      </w:r>
      <w:r>
        <w:t>but does not have to meet the requirements of this subpart and of subpart A of this part, including initial notification</w:t>
      </w:r>
      <w:r w:rsidRPr="00D55345">
        <w:t xml:space="preserve"> (see </w:t>
      </w:r>
      <w:r>
        <w:t>§</w:t>
      </w:r>
      <w:r w:rsidRPr="00D55345">
        <w:t xml:space="preserve">63.6590(b)(3)), </w:t>
      </w:r>
      <w:r>
        <w:t>and there are no applicable requirements in the NSR permit (</w:t>
      </w:r>
      <w:proofErr w:type="spellStart"/>
      <w:r>
        <w:t>e.g</w:t>
      </w:r>
      <w:proofErr w:type="spellEnd"/>
      <w:r>
        <w:t xml:space="preserve"> the unit is an emergency standby generator and NSR exempt per 20.2.72.202.B(3) NMAC or a fire pump engine and NSR exempt per 20.2.72.202.A(4) NMAC), </w:t>
      </w:r>
      <w:r w:rsidRPr="00D55345">
        <w:t xml:space="preserve">be sure to include </w:t>
      </w:r>
      <w:r>
        <w:t>its NESHAP</w:t>
      </w:r>
      <w:r w:rsidRPr="00D55345">
        <w:t xml:space="preserve"> applicability determination in the Statement of Basis, but do not list the unit in Table 103-Applicable Regulations</w:t>
      </w:r>
      <w:r>
        <w:t xml:space="preserve">, do not </w:t>
      </w:r>
      <w:r w:rsidRPr="00D55345">
        <w:t>include the generic Quad Z condition</w:t>
      </w:r>
      <w:r>
        <w:t>, and do not include any other Quad Z requirements</w:t>
      </w:r>
      <w:r w:rsidRPr="00D55345">
        <w:t xml:space="preserve"> in the permit.  </w:t>
      </w:r>
      <w:r>
        <w:t>I</w:t>
      </w:r>
      <w:r w:rsidRPr="00D55345">
        <w:t>nitial notification as required in 63.6590(b)(1) and (b)(2)</w:t>
      </w:r>
      <w:r>
        <w:t xml:space="preserve"> is considered an applicable requirement and therefore the unit should be included in the permit.  Also, if the unit is </w:t>
      </w:r>
      <w:r w:rsidRPr="00D55345">
        <w:t>meet</w:t>
      </w:r>
      <w:r>
        <w:t>ing</w:t>
      </w:r>
      <w:r w:rsidRPr="00D55345">
        <w:t xml:space="preserve"> the requirements of Quad Z by meeting NSPS IIII or JJJJ (see </w:t>
      </w:r>
      <w:r>
        <w:t>§</w:t>
      </w:r>
      <w:r w:rsidRPr="00D55345">
        <w:t>63.6590(c)), then the permit should list the unit in Table 103 and include</w:t>
      </w:r>
      <w:r>
        <w:t xml:space="preserve"> the generic Quad Z condition.</w:t>
      </w:r>
    </w:p>
    <w:p w14:paraId="7342685C" w14:textId="77777777" w:rsidR="009D0A8C" w:rsidRDefault="009D0A8C" w:rsidP="009D0A8C"/>
    <w:p w14:paraId="55AA88EE" w14:textId="77777777" w:rsidR="009D0A8C" w:rsidRDefault="009D0A8C" w:rsidP="009D0A8C">
      <w:r>
        <w:rPr>
          <w:b/>
        </w:rPr>
        <w:t>Engines with no applicable requirements are Title V insignificant.</w:t>
      </w:r>
    </w:p>
    <w:p w14:paraId="0A5407E1" w14:textId="77777777" w:rsidR="009D0A8C" w:rsidRDefault="009D0A8C" w:rsidP="009D0A8C"/>
    <w:p w14:paraId="54BEE80D" w14:textId="77777777" w:rsidR="009D0A8C" w:rsidRPr="00D55345" w:rsidRDefault="009D0A8C" w:rsidP="009D0A8C">
      <w:r w:rsidRPr="00D55345">
        <w:t>This guidance is based on the regulat</w:t>
      </w:r>
      <w:r>
        <w:t>ions</w:t>
      </w:r>
      <w:r w:rsidRPr="00D55345">
        <w:t xml:space="preserve"> </w:t>
      </w:r>
      <w:r w:rsidRPr="00D55345">
        <w:rPr>
          <w:u w:val="single"/>
        </w:rPr>
        <w:t>as of March 25, 2013.</w:t>
      </w:r>
      <w:r>
        <w:rPr>
          <w:u w:val="single"/>
        </w:rPr>
        <w:t xml:space="preserve">  (Note revised 2-03-15).</w:t>
      </w:r>
    </w:p>
    <w:p w14:paraId="3AD92618" w14:textId="77777777" w:rsidR="009D0A8C" w:rsidRPr="00D55345" w:rsidRDefault="009D0A8C" w:rsidP="009D0A8C"/>
    <w:p w14:paraId="37974BB9" w14:textId="77777777" w:rsidR="009D0A8C" w:rsidRPr="002231CC" w:rsidRDefault="009D0A8C" w:rsidP="009D0A8C">
      <w:pPr>
        <w:ind w:left="720" w:right="810"/>
        <w:rPr>
          <w:i/>
        </w:rPr>
      </w:pPr>
      <w:r w:rsidRPr="002231CC">
        <w:rPr>
          <w:i/>
        </w:rPr>
        <w:t xml:space="preserve">“40 CFR, 63.6585 You are subject to this subpart if you own or operate a stationary RICE at a major or area source of HAP emissions, except if the stationary RICE is being tested at a stationary RICE test cell/stand.”  </w:t>
      </w:r>
    </w:p>
    <w:p w14:paraId="4240CC5A" w14:textId="77777777" w:rsidR="009D0A8C" w:rsidRPr="002231CC" w:rsidRDefault="009D0A8C" w:rsidP="009D0A8C">
      <w:pPr>
        <w:ind w:left="720" w:right="810"/>
        <w:rPr>
          <w:i/>
        </w:rPr>
      </w:pPr>
    </w:p>
    <w:p w14:paraId="4AEC71DC" w14:textId="77777777" w:rsidR="009D0A8C" w:rsidRPr="002231CC" w:rsidRDefault="009D0A8C" w:rsidP="009D0A8C">
      <w:pPr>
        <w:ind w:left="720" w:right="810"/>
        <w:rPr>
          <w:i/>
        </w:rPr>
      </w:pPr>
      <w:r w:rsidRPr="002231CC">
        <w:rPr>
          <w:i/>
        </w:rPr>
        <w:t>“§ 63.6590   What parts of my plant does this subpart cover?</w:t>
      </w:r>
    </w:p>
    <w:p w14:paraId="6BD8E49A" w14:textId="77777777" w:rsidR="009D0A8C" w:rsidRPr="002231CC" w:rsidRDefault="009D0A8C" w:rsidP="009D0A8C">
      <w:pPr>
        <w:ind w:left="720" w:right="810"/>
        <w:rPr>
          <w:i/>
        </w:rPr>
      </w:pPr>
      <w:r w:rsidRPr="002231CC">
        <w:rPr>
          <w:i/>
        </w:rPr>
        <w:t>(b) Stationary RICE subject to limited requirements.</w:t>
      </w:r>
    </w:p>
    <w:p w14:paraId="7AC6E66C" w14:textId="77777777" w:rsidR="009D0A8C" w:rsidRPr="002231CC" w:rsidRDefault="009D0A8C" w:rsidP="009D0A8C">
      <w:pPr>
        <w:ind w:left="720"/>
        <w:rPr>
          <w:i/>
        </w:rPr>
      </w:pPr>
      <w:r w:rsidRPr="002231CC">
        <w:rPr>
          <w:i/>
        </w:rPr>
        <w:t>(3) The following stationary RICE do not have to meet the requirements of this subpart and of subpart A of this part, including initial notification requirements:”</w:t>
      </w:r>
    </w:p>
    <w:p w14:paraId="3B82AE74" w14:textId="77777777" w:rsidR="009D0A8C" w:rsidRPr="00BC6736" w:rsidRDefault="009D0A8C" w:rsidP="009D0A8C"/>
    <w:p w14:paraId="1F6B5D4D" w14:textId="77777777" w:rsidR="004F66AD" w:rsidRDefault="004F66AD" w:rsidP="002231CC">
      <w:pPr>
        <w:ind w:left="720"/>
      </w:pPr>
    </w:p>
    <w:p w14:paraId="74E71F8C" w14:textId="77777777" w:rsidR="007A432B" w:rsidRDefault="007A432B" w:rsidP="006614CE">
      <w:pPr>
        <w:pStyle w:val="AQBLvl-1Condition"/>
        <w:numPr>
          <w:ilvl w:val="0"/>
          <w:numId w:val="1"/>
        </w:numPr>
        <w:tabs>
          <w:tab w:val="clear" w:pos="1116"/>
          <w:tab w:val="num" w:pos="1176"/>
        </w:tabs>
        <w:spacing w:before="240"/>
        <w:ind w:left="1176"/>
      </w:pPr>
      <w:r>
        <w:t xml:space="preserve">40 CFR 63, Subpart ZZZZ (Unit(s) </w:t>
      </w:r>
      <w:r w:rsidRPr="006614CE">
        <w:t>X, Y, and Z</w:t>
      </w:r>
      <w:r>
        <w:t>)</w:t>
      </w:r>
      <w:r w:rsidR="00F30C84">
        <w:t xml:space="preserve"> </w:t>
      </w:r>
      <w:r w:rsidR="00F30C84" w:rsidRPr="006614CE">
        <w:t>[already installed units or when applicability is known]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0BED159E" w14:textId="77777777" w:rsidTr="002F5018">
        <w:trPr>
          <w:jc w:val="center"/>
        </w:trPr>
        <w:tc>
          <w:tcPr>
            <w:tcW w:w="9360" w:type="dxa"/>
          </w:tcPr>
          <w:p w14:paraId="61B23020" w14:textId="77777777" w:rsidR="007A432B" w:rsidRDefault="007A432B" w:rsidP="004A0E6C">
            <w:pPr>
              <w:spacing w:before="120"/>
            </w:pPr>
            <w:r>
              <w:rPr>
                <w:b/>
              </w:rPr>
              <w:t>Requirement:</w:t>
            </w:r>
            <w:r>
              <w:t xml:space="preserve"> The unit</w:t>
            </w:r>
            <w:r w:rsidRPr="00AD229D">
              <w:rPr>
                <w:color w:val="FF0000"/>
              </w:rPr>
              <w:t>(s</w:t>
            </w:r>
            <w:r>
              <w:rPr>
                <w:color w:val="FF0000"/>
              </w:rPr>
              <w:t>)</w:t>
            </w:r>
            <w:r>
              <w:t xml:space="preserve"> </w:t>
            </w:r>
            <w:r w:rsidRPr="00166216">
              <w:rPr>
                <w:color w:val="FF0000"/>
              </w:rPr>
              <w:t>is/are</w:t>
            </w:r>
            <w:r>
              <w:t xml:space="preserve"> subject to 40 CFR </w:t>
            </w:r>
            <w:proofErr w:type="gramStart"/>
            <w:r>
              <w:t>63,</w:t>
            </w:r>
            <w:proofErr w:type="gramEnd"/>
            <w:r>
              <w:t xml:space="preserve"> Subpart ZZZZ and the permittee shall comply with all a</w:t>
            </w:r>
            <w:r>
              <w:rPr>
                <w:color w:val="000000"/>
              </w:rPr>
              <w:t xml:space="preserve">pplicable requirements of Subpart A and Subpart ZZZZ. </w:t>
            </w:r>
          </w:p>
        </w:tc>
      </w:tr>
      <w:tr w:rsidR="007A432B" w14:paraId="6F291616" w14:textId="77777777" w:rsidTr="002F5018">
        <w:trPr>
          <w:jc w:val="center"/>
        </w:trPr>
        <w:tc>
          <w:tcPr>
            <w:tcW w:w="9360" w:type="dxa"/>
          </w:tcPr>
          <w:p w14:paraId="216307A5" w14:textId="77777777" w:rsidR="007A432B" w:rsidRDefault="007A432B" w:rsidP="004A0E6C">
            <w:pPr>
              <w:spacing w:before="120"/>
            </w:pPr>
            <w:r>
              <w:rPr>
                <w:b/>
              </w:rPr>
              <w:t>Monitoring:</w:t>
            </w:r>
            <w:r>
              <w:t xml:space="preserve">  The permittee shall comply with all applicable monitoring requirements of 40 CFR 63, Subpart A and Subpart ZZZZ.</w:t>
            </w:r>
          </w:p>
        </w:tc>
      </w:tr>
      <w:tr w:rsidR="007A432B" w14:paraId="602764BD" w14:textId="77777777" w:rsidTr="002F5018">
        <w:trPr>
          <w:jc w:val="center"/>
        </w:trPr>
        <w:tc>
          <w:tcPr>
            <w:tcW w:w="9360" w:type="dxa"/>
          </w:tcPr>
          <w:p w14:paraId="16413F55" w14:textId="77777777" w:rsidR="007A432B" w:rsidRDefault="007A432B" w:rsidP="004A0E6C">
            <w:pPr>
              <w:spacing w:before="120"/>
            </w:pPr>
            <w:r>
              <w:rPr>
                <w:b/>
              </w:rPr>
              <w:t>Recordkeeping:</w:t>
            </w:r>
            <w:r>
              <w:t xml:space="preserve"> The permittee </w:t>
            </w:r>
            <w:r>
              <w:rPr>
                <w:bCs/>
              </w:rPr>
              <w:t xml:space="preserve">shall comply </w:t>
            </w:r>
            <w:r>
              <w:t>with all applicable recordkeeping requirements</w:t>
            </w:r>
            <w:r>
              <w:rPr>
                <w:bCs/>
              </w:rPr>
              <w:t xml:space="preserve"> of 40 CFR 63, Subpart A and Subpart ZZZZ, including but not limited to 63.6655 and 63.10.</w:t>
            </w:r>
          </w:p>
        </w:tc>
      </w:tr>
      <w:tr w:rsidR="007A432B" w14:paraId="44F424F5" w14:textId="77777777" w:rsidTr="002F5018">
        <w:trPr>
          <w:jc w:val="center"/>
        </w:trPr>
        <w:tc>
          <w:tcPr>
            <w:tcW w:w="9360" w:type="dxa"/>
          </w:tcPr>
          <w:p w14:paraId="62507DBA" w14:textId="77777777" w:rsidR="007A432B" w:rsidRDefault="007A432B" w:rsidP="004A0E6C">
            <w:pPr>
              <w:spacing w:before="120"/>
            </w:pPr>
            <w:r>
              <w:rPr>
                <w:b/>
              </w:rPr>
              <w:t>Reporting:</w:t>
            </w:r>
            <w:r>
              <w:t xml:space="preserve"> </w:t>
            </w:r>
            <w:r>
              <w:rPr>
                <w:rFonts w:eastAsia="MS Mincho"/>
                <w:bCs/>
              </w:rPr>
              <w:t>The</w:t>
            </w:r>
            <w:r>
              <w:t xml:space="preserve"> permittee shall comply with all applicable reporting requirements of 40 CFR </w:t>
            </w:r>
            <w:r>
              <w:rPr>
                <w:bCs/>
              </w:rPr>
              <w:t xml:space="preserve">63, Subpart A and ZZZZ, including but not limited to </w:t>
            </w:r>
            <w:r>
              <w:t>63.6645, 63.6650, 63.9, and 63.10.</w:t>
            </w:r>
          </w:p>
        </w:tc>
      </w:tr>
    </w:tbl>
    <w:p w14:paraId="653AA36B" w14:textId="77777777" w:rsidR="007A432B" w:rsidRDefault="007A432B" w:rsidP="00103B27">
      <w:pPr>
        <w:pStyle w:val="AQBLvl-1Condition"/>
        <w:numPr>
          <w:ilvl w:val="0"/>
          <w:numId w:val="1"/>
        </w:numPr>
        <w:tabs>
          <w:tab w:val="clear" w:pos="1116"/>
          <w:tab w:val="num" w:pos="1176"/>
        </w:tabs>
        <w:spacing w:before="240"/>
        <w:ind w:left="1176"/>
      </w:pPr>
      <w:r>
        <w:t xml:space="preserve">40 CFR 63, Subpart ZZZZ (Unit(s) </w:t>
      </w:r>
      <w:r>
        <w:rPr>
          <w:color w:val="FF0000"/>
        </w:rPr>
        <w:t>X, Y, and Z</w:t>
      </w:r>
      <w:r>
        <w:t xml:space="preserve">) </w:t>
      </w:r>
      <w:r>
        <w:rPr>
          <w:bCs/>
          <w:color w:val="FF0000"/>
        </w:rPr>
        <w:t>[To be installed units]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2281968C" w14:textId="77777777" w:rsidTr="002F5018">
        <w:trPr>
          <w:jc w:val="center"/>
        </w:trPr>
        <w:tc>
          <w:tcPr>
            <w:tcW w:w="9360" w:type="dxa"/>
          </w:tcPr>
          <w:p w14:paraId="159C269A" w14:textId="77777777" w:rsidR="007A432B" w:rsidRDefault="007A432B" w:rsidP="004A0E6C">
            <w:pPr>
              <w:spacing w:before="120"/>
            </w:pPr>
            <w:r>
              <w:rPr>
                <w:b/>
              </w:rPr>
              <w:t>Requirement:</w:t>
            </w:r>
            <w:r>
              <w:t xml:space="preserve"> </w:t>
            </w:r>
            <w:r>
              <w:rPr>
                <w:color w:val="000000"/>
              </w:rPr>
              <w:t>The unit</w:t>
            </w:r>
            <w:r w:rsidRPr="00D21A10">
              <w:rPr>
                <w:color w:val="FF0000"/>
              </w:rPr>
              <w:t>(s)</w:t>
            </w:r>
            <w:r>
              <w:rPr>
                <w:color w:val="000000"/>
              </w:rPr>
              <w:t xml:space="preserve"> will be subject to</w:t>
            </w:r>
            <w:r w:rsidRPr="00915528">
              <w:t xml:space="preserve"> 40 CFR 6</w:t>
            </w:r>
            <w:r>
              <w:t>3</w:t>
            </w:r>
            <w:r w:rsidRPr="00915528">
              <w:t>, Subpar</w:t>
            </w:r>
            <w:r>
              <w:t>ts A and ZZZZ if the</w:t>
            </w:r>
            <w:r w:rsidR="00471EF8">
              <w:t>y</w:t>
            </w:r>
            <w:r>
              <w:t xml:space="preserve"> </w:t>
            </w:r>
            <w:r w:rsidR="00471EF8">
              <w:t>meet the</w:t>
            </w:r>
            <w:r>
              <w:t xml:space="preserve"> applicability</w:t>
            </w:r>
            <w:r w:rsidR="00471EF8">
              <w:t xml:space="preserve"> criteria</w:t>
            </w:r>
            <w:r>
              <w:t xml:space="preserve"> in 40 CFR 63.6590</w:t>
            </w:r>
            <w:r w:rsidR="00471EF8">
              <w:t>.  The</w:t>
            </w:r>
            <w:r>
              <w:t xml:space="preserve"> permittee </w:t>
            </w:r>
            <w:r w:rsidRPr="00485A8D">
              <w:t>shall comply</w:t>
            </w:r>
            <w:r>
              <w:t xml:space="preserve"> </w:t>
            </w:r>
            <w:r w:rsidRPr="00485A8D">
              <w:t xml:space="preserve">with </w:t>
            </w:r>
            <w:r w:rsidR="00471EF8">
              <w:t>any applicable</w:t>
            </w:r>
            <w:r w:rsidRPr="00485A8D">
              <w:t xml:space="preserve"> notification requirements in Subpart A and </w:t>
            </w:r>
            <w:r w:rsidR="00471EF8">
              <w:t xml:space="preserve">any </w:t>
            </w:r>
            <w:r w:rsidRPr="00485A8D">
              <w:t xml:space="preserve">specific requirements of Subpart </w:t>
            </w:r>
            <w:r>
              <w:t>ZZZZ.</w:t>
            </w:r>
          </w:p>
        </w:tc>
      </w:tr>
      <w:tr w:rsidR="007A432B" w14:paraId="2697CF08" w14:textId="77777777" w:rsidTr="002F5018">
        <w:trPr>
          <w:jc w:val="center"/>
        </w:trPr>
        <w:tc>
          <w:tcPr>
            <w:tcW w:w="9360" w:type="dxa"/>
          </w:tcPr>
          <w:p w14:paraId="60793FF7" w14:textId="77777777" w:rsidR="007A432B" w:rsidRDefault="007A432B" w:rsidP="004A0E6C">
            <w:pPr>
              <w:spacing w:before="120"/>
            </w:pPr>
            <w:r>
              <w:rPr>
                <w:b/>
              </w:rPr>
              <w:t>Monitoring:</w:t>
            </w:r>
            <w:r>
              <w:t xml:space="preserve">  The permittee shall comply with all applicable monitoring requirements of 40 CFR 63, Subpart A and Subpart ZZZZ.</w:t>
            </w:r>
          </w:p>
        </w:tc>
      </w:tr>
      <w:tr w:rsidR="007A432B" w14:paraId="562A5E67" w14:textId="77777777" w:rsidTr="002F5018">
        <w:trPr>
          <w:jc w:val="center"/>
        </w:trPr>
        <w:tc>
          <w:tcPr>
            <w:tcW w:w="9360" w:type="dxa"/>
          </w:tcPr>
          <w:p w14:paraId="28EE39C1" w14:textId="77777777" w:rsidR="007A432B" w:rsidRDefault="007A432B" w:rsidP="004A0E6C">
            <w:pPr>
              <w:spacing w:before="120"/>
            </w:pPr>
            <w:r>
              <w:rPr>
                <w:b/>
              </w:rPr>
              <w:t>Recordkeeping:</w:t>
            </w:r>
            <w:r>
              <w:t xml:space="preserve"> The permittee </w:t>
            </w:r>
            <w:r>
              <w:rPr>
                <w:bCs/>
              </w:rPr>
              <w:t xml:space="preserve">shall comply </w:t>
            </w:r>
            <w:r>
              <w:t>with all applicable recordkeeping requirements</w:t>
            </w:r>
            <w:r>
              <w:rPr>
                <w:bCs/>
              </w:rPr>
              <w:t xml:space="preserve"> of 40 CFR 63, Subpart A and Subpart ZZZZ, including but not limited to 63.6655 and 63.10.</w:t>
            </w:r>
          </w:p>
        </w:tc>
      </w:tr>
      <w:tr w:rsidR="007A432B" w14:paraId="3B35A21C" w14:textId="77777777" w:rsidTr="002F5018">
        <w:trPr>
          <w:jc w:val="center"/>
        </w:trPr>
        <w:tc>
          <w:tcPr>
            <w:tcW w:w="9360" w:type="dxa"/>
          </w:tcPr>
          <w:p w14:paraId="32748596" w14:textId="77777777" w:rsidR="007A432B" w:rsidRDefault="007A432B" w:rsidP="004A0E6C">
            <w:pPr>
              <w:spacing w:before="120"/>
            </w:pPr>
            <w:r>
              <w:rPr>
                <w:b/>
              </w:rPr>
              <w:t>Reporting:</w:t>
            </w:r>
            <w:r>
              <w:t xml:space="preserve"> </w:t>
            </w:r>
            <w:r>
              <w:rPr>
                <w:rFonts w:eastAsia="MS Mincho"/>
                <w:bCs/>
              </w:rPr>
              <w:t>The</w:t>
            </w:r>
            <w:r>
              <w:t xml:space="preserve"> permittee shall comply with all applicable reporting requirements of 40 CFR </w:t>
            </w:r>
            <w:r>
              <w:rPr>
                <w:bCs/>
              </w:rPr>
              <w:t xml:space="preserve">63, Subpart A and ZZZZ, including but not limited to </w:t>
            </w:r>
            <w:r>
              <w:t>63.6645, 63.6650, 63.9, and 63.10.</w:t>
            </w:r>
          </w:p>
        </w:tc>
      </w:tr>
    </w:tbl>
    <w:p w14:paraId="1398E51D" w14:textId="77777777" w:rsidR="007A432B" w:rsidRDefault="007A432B" w:rsidP="00103B27">
      <w:pPr>
        <w:pStyle w:val="AQBCLvl-1"/>
        <w:spacing w:before="240"/>
      </w:pPr>
      <w:r>
        <w:t xml:space="preserve">40 CFR 64, CAM (Unit(s) </w:t>
      </w:r>
      <w:r w:rsidRPr="004A7328">
        <w:rPr>
          <w:color w:val="FF0000"/>
        </w:rPr>
        <w:t>X, Y, and Z</w:t>
      </w:r>
      <w:r>
        <w:t xml:space="preserve">) </w:t>
      </w:r>
      <w:r w:rsidRPr="002231CC">
        <w:rPr>
          <w:color w:val="FF0000"/>
        </w:rPr>
        <w:t>[</w:t>
      </w:r>
      <w:r w:rsidR="00F30C84" w:rsidRPr="002231CC">
        <w:rPr>
          <w:color w:val="FF0000"/>
        </w:rPr>
        <w:t xml:space="preserve">TV permits only. </w:t>
      </w:r>
      <w:r w:rsidRPr="002231CC">
        <w:rPr>
          <w:color w:val="FF0000"/>
        </w:rPr>
        <w:t xml:space="preserve"> When an IC Engine uses a control device and uncontrolled emissions are greater than 100 tpy]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1AA1658B" w14:textId="77777777" w:rsidTr="002F5018">
        <w:trPr>
          <w:jc w:val="center"/>
        </w:trPr>
        <w:tc>
          <w:tcPr>
            <w:tcW w:w="9360" w:type="dxa"/>
          </w:tcPr>
          <w:p w14:paraId="6B9A5450" w14:textId="77777777" w:rsidR="007A432B" w:rsidRDefault="007A432B" w:rsidP="004A0E6C">
            <w:pPr>
              <w:spacing w:before="120"/>
            </w:pPr>
            <w:r>
              <w:rPr>
                <w:b/>
              </w:rPr>
              <w:t>Requirement:</w:t>
            </w:r>
            <w:r>
              <w:t xml:space="preserve"> Compliance Assurance Monitoring (CAM) contained in 40 CFR 64 applies to this facility, and the permittee shall meet the requirements of the provisions contained in Subpart 3, 7, 9(a), and 9(b).</w:t>
            </w:r>
          </w:p>
        </w:tc>
      </w:tr>
      <w:tr w:rsidR="007A432B" w14:paraId="5F0C1397" w14:textId="77777777" w:rsidTr="002F5018">
        <w:trPr>
          <w:jc w:val="center"/>
        </w:trPr>
        <w:tc>
          <w:tcPr>
            <w:tcW w:w="9360" w:type="dxa"/>
          </w:tcPr>
          <w:p w14:paraId="3CC14F4D" w14:textId="57DFA14C" w:rsidR="007A432B" w:rsidRDefault="007A432B" w:rsidP="004A0E6C">
            <w:pPr>
              <w:spacing w:before="120"/>
            </w:pPr>
            <w:r>
              <w:rPr>
                <w:b/>
              </w:rPr>
              <w:t>Monitoring:</w:t>
            </w:r>
            <w:r>
              <w:t xml:space="preserve"> </w:t>
            </w:r>
            <w:r>
              <w:rPr>
                <w:color w:val="000000"/>
              </w:rPr>
              <w:t xml:space="preserve">The permittee shall monitor exhaust </w:t>
            </w:r>
            <w:r w:rsidRPr="00FB2326">
              <w:rPr>
                <w:color w:val="FF0000"/>
              </w:rPr>
              <w:t xml:space="preserve">gas temperature and percent </w:t>
            </w:r>
            <w:r w:rsidRPr="002D3E57">
              <w:rPr>
                <w:color w:val="FF0000"/>
              </w:rPr>
              <w:t xml:space="preserve">oxygen </w:t>
            </w:r>
            <w:r w:rsidR="002D3E57" w:rsidRPr="005177E8">
              <w:rPr>
                <w:color w:val="FF0000"/>
              </w:rPr>
              <w:t>[update to match parameters listed in the CAM</w:t>
            </w:r>
            <w:r w:rsidR="002D3E57" w:rsidRPr="002D3E57">
              <w:rPr>
                <w:color w:val="FF0000"/>
              </w:rPr>
              <w:t xml:space="preserve"> Plan] </w:t>
            </w:r>
            <w:r w:rsidRPr="00FB2326">
              <w:rPr>
                <w:color w:val="FF0000"/>
              </w:rPr>
              <w:t>concentration of</w:t>
            </w:r>
            <w:r>
              <w:rPr>
                <w:color w:val="000000"/>
              </w:rPr>
              <w:t xml:space="preserve"> the gas at the catalyst inlet pursuant to 40 CFR 64.3, and continue the monitoring operation pursuant to 40 CFR 64.7.</w:t>
            </w:r>
            <w:r w:rsidR="00F47F4A">
              <w:rPr>
                <w:color w:val="000000"/>
              </w:rPr>
              <w:t xml:space="preserve"> </w:t>
            </w:r>
            <w:r>
              <w:rPr>
                <w:color w:val="000000"/>
              </w:rPr>
              <w:t xml:space="preserve"> The </w:t>
            </w:r>
            <w:r>
              <w:rPr>
                <w:color w:val="000000"/>
              </w:rPr>
              <w:lastRenderedPageBreak/>
              <w:t>frequency of data collection shall be at least once every 24 hours per 40 CFR 64.3(b)(4)(iii).</w:t>
            </w:r>
          </w:p>
        </w:tc>
      </w:tr>
      <w:tr w:rsidR="007A432B" w14:paraId="72863CE3" w14:textId="77777777" w:rsidTr="002F5018">
        <w:trPr>
          <w:jc w:val="center"/>
        </w:trPr>
        <w:tc>
          <w:tcPr>
            <w:tcW w:w="9360" w:type="dxa"/>
          </w:tcPr>
          <w:p w14:paraId="6D5860CB" w14:textId="77777777" w:rsidR="007A432B" w:rsidRDefault="007A432B" w:rsidP="004A0E6C">
            <w:pPr>
              <w:spacing w:before="120"/>
            </w:pPr>
            <w:r>
              <w:rPr>
                <w:b/>
              </w:rPr>
              <w:lastRenderedPageBreak/>
              <w:t>Recordkeeping:</w:t>
            </w:r>
            <w:r>
              <w:t xml:space="preserve"> </w:t>
            </w:r>
            <w:r>
              <w:rPr>
                <w:color w:val="000000"/>
              </w:rPr>
              <w:t>The permittee shall comply with the recordkeeping requirements of 40 CFR 64.9(b).</w:t>
            </w:r>
          </w:p>
        </w:tc>
      </w:tr>
      <w:tr w:rsidR="007A432B" w14:paraId="3B623176" w14:textId="77777777" w:rsidTr="002F5018">
        <w:trPr>
          <w:jc w:val="center"/>
        </w:trPr>
        <w:tc>
          <w:tcPr>
            <w:tcW w:w="9360" w:type="dxa"/>
          </w:tcPr>
          <w:p w14:paraId="22DAB518" w14:textId="77777777" w:rsidR="007A432B" w:rsidRDefault="007A432B" w:rsidP="004A0E6C">
            <w:pPr>
              <w:spacing w:before="120"/>
            </w:pPr>
            <w:r>
              <w:rPr>
                <w:b/>
              </w:rPr>
              <w:t>Reporting:</w:t>
            </w:r>
            <w:r>
              <w:t xml:space="preserve"> </w:t>
            </w:r>
            <w:r>
              <w:rPr>
                <w:color w:val="000000"/>
              </w:rPr>
              <w:t xml:space="preserve">The permittee shall submit monitoring reports to the Department per 40 CFR 64.9(a).   </w:t>
            </w:r>
          </w:p>
        </w:tc>
      </w:tr>
    </w:tbl>
    <w:p w14:paraId="41104A3E" w14:textId="77777777" w:rsidR="007A432B" w:rsidRDefault="007A432B" w:rsidP="009954F1">
      <w:pPr>
        <w:pStyle w:val="AQBCLvl-1"/>
        <w:spacing w:before="240"/>
      </w:pPr>
      <w:r>
        <w:t xml:space="preserve">40 CFR 60, Subpart IIII (Unit(s) </w:t>
      </w:r>
      <w:r w:rsidRPr="004A7328">
        <w:rPr>
          <w:color w:val="FF0000"/>
        </w:rPr>
        <w:t>X, Y, and Z</w:t>
      </w:r>
      <w:r>
        <w:t xml:space="preserve">) </w:t>
      </w:r>
      <w:r w:rsidR="00F30C84" w:rsidRPr="002231CC">
        <w:rPr>
          <w:b/>
          <w:color w:val="FF0000"/>
        </w:rPr>
        <w:t>[diesel engines]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A432B" w14:paraId="0DE42FB8" w14:textId="77777777" w:rsidTr="00377678">
        <w:trPr>
          <w:jc w:val="center"/>
        </w:trPr>
        <w:tc>
          <w:tcPr>
            <w:tcW w:w="9360" w:type="dxa"/>
          </w:tcPr>
          <w:p w14:paraId="28FD0637" w14:textId="77777777" w:rsidR="007A432B" w:rsidRDefault="007A432B" w:rsidP="004A0E6C">
            <w:pPr>
              <w:pStyle w:val="AQBTCondition"/>
              <w:spacing w:before="120"/>
            </w:pPr>
            <w:r>
              <w:rPr>
                <w:b/>
              </w:rPr>
              <w:t xml:space="preserve">Requirement: </w:t>
            </w:r>
            <w:r>
              <w:t>The unit</w:t>
            </w:r>
            <w:r>
              <w:rPr>
                <w:color w:val="0000FF"/>
              </w:rPr>
              <w:t xml:space="preserve"> </w:t>
            </w:r>
            <w:r w:rsidRPr="00102D7B">
              <w:t>is</w:t>
            </w:r>
            <w:r>
              <w:t xml:space="preserve"> subject to 40 CFR 60, Subparts A and IIII and shall comply with the notification requirements in Subpart A and the specific requirements of Subpart IIII.</w:t>
            </w:r>
          </w:p>
        </w:tc>
      </w:tr>
      <w:tr w:rsidR="007A432B" w14:paraId="64256302" w14:textId="77777777" w:rsidTr="00377678">
        <w:trPr>
          <w:jc w:val="center"/>
        </w:trPr>
        <w:tc>
          <w:tcPr>
            <w:tcW w:w="9360" w:type="dxa"/>
          </w:tcPr>
          <w:p w14:paraId="0607611E" w14:textId="77777777" w:rsidR="007A432B" w:rsidRDefault="007A432B" w:rsidP="004A0E6C">
            <w:pPr>
              <w:pStyle w:val="AQBTCondition"/>
              <w:spacing w:before="120"/>
            </w:pPr>
            <w:r>
              <w:rPr>
                <w:b/>
              </w:rPr>
              <w:t>Monitoring:</w:t>
            </w:r>
            <w:r>
              <w:t xml:space="preserve"> The permittee shall comply with all applicable monitoring requirements in 40 CFR 60, Subpart A and Subpart IIII, including but not limited to 60.4211.</w:t>
            </w:r>
          </w:p>
        </w:tc>
      </w:tr>
      <w:tr w:rsidR="007A432B" w14:paraId="7FB09F49" w14:textId="77777777" w:rsidTr="00377678">
        <w:trPr>
          <w:jc w:val="center"/>
        </w:trPr>
        <w:tc>
          <w:tcPr>
            <w:tcW w:w="9360" w:type="dxa"/>
          </w:tcPr>
          <w:p w14:paraId="09543CE4" w14:textId="77777777" w:rsidR="007A432B" w:rsidRDefault="007A432B" w:rsidP="004A0E6C">
            <w:pPr>
              <w:pStyle w:val="ConditionIndent"/>
              <w:tabs>
                <w:tab w:val="clear" w:pos="1440"/>
              </w:tabs>
              <w:spacing w:before="120"/>
              <w:ind w:left="0" w:firstLine="0"/>
            </w:pPr>
            <w:r>
              <w:rPr>
                <w:b/>
              </w:rPr>
              <w:t>Recordkeeping:</w:t>
            </w:r>
            <w:r>
              <w:t xml:space="preserve">  The permittee shall comply with all applicable recordkeeping requirements in 40 CFR 60, Subpart A and Subpart IIII, including but not limited to 60.4214.</w:t>
            </w:r>
          </w:p>
        </w:tc>
      </w:tr>
      <w:tr w:rsidR="007A432B" w14:paraId="49090C43" w14:textId="77777777" w:rsidTr="00377678">
        <w:trPr>
          <w:jc w:val="center"/>
        </w:trPr>
        <w:tc>
          <w:tcPr>
            <w:tcW w:w="9360" w:type="dxa"/>
          </w:tcPr>
          <w:p w14:paraId="35DBB705" w14:textId="77777777" w:rsidR="007A432B" w:rsidRDefault="007A432B" w:rsidP="004A0E6C">
            <w:pPr>
              <w:pStyle w:val="AQBTCondition"/>
              <w:spacing w:before="120"/>
            </w:pPr>
            <w:r>
              <w:rPr>
                <w:b/>
              </w:rPr>
              <w:t>Reporting:</w:t>
            </w:r>
            <w:r>
              <w:t xml:space="preserve"> The permittee shall comply with all applicable reporting requirements in 40 CFR 60, Subpart A and Subpart IIII, including but not limited to 60.4214.</w:t>
            </w:r>
          </w:p>
        </w:tc>
      </w:tr>
    </w:tbl>
    <w:p w14:paraId="7B28512F" w14:textId="77777777" w:rsidR="007A432B" w:rsidRDefault="007A432B"/>
    <w:p w14:paraId="54BF7906" w14:textId="77777777" w:rsidR="007A432B" w:rsidRDefault="007A432B">
      <w:pPr>
        <w:widowControl/>
        <w:spacing w:after="200" w:line="276" w:lineRule="auto"/>
        <w:jc w:val="left"/>
        <w:rPr>
          <w:b/>
          <w:u w:val="single"/>
        </w:rPr>
      </w:pPr>
      <w:r>
        <w:rPr>
          <w:b/>
          <w:u w:val="single"/>
        </w:rPr>
        <w:br w:type="page"/>
      </w:r>
    </w:p>
    <w:p w14:paraId="5092CC3F" w14:textId="77777777" w:rsidR="007A432B" w:rsidRDefault="007A432B" w:rsidP="00F335A2">
      <w:pPr>
        <w:spacing w:line="240" w:lineRule="exact"/>
        <w:jc w:val="center"/>
      </w:pPr>
      <w:r>
        <w:rPr>
          <w:b/>
          <w:u w:val="single"/>
        </w:rPr>
        <w:lastRenderedPageBreak/>
        <w:t>BACKGROUND INFORMATION</w:t>
      </w:r>
    </w:p>
    <w:p w14:paraId="2AB26A66" w14:textId="77777777" w:rsidR="007A432B" w:rsidRDefault="007A432B" w:rsidP="00F335A2">
      <w:pPr>
        <w:spacing w:line="240" w:lineRule="exact"/>
        <w:jc w:val="center"/>
      </w:pPr>
      <w:r>
        <w:t>(Not for inclusion in permit)</w:t>
      </w:r>
    </w:p>
    <w:p w14:paraId="19A898E8" w14:textId="77777777" w:rsidR="007A432B" w:rsidRDefault="007A432B" w:rsidP="00F335A2"/>
    <w:p w14:paraId="73FECB8D" w14:textId="77777777" w:rsidR="007A432B" w:rsidRDefault="007A432B" w:rsidP="00F335A2">
      <w:pPr>
        <w:rPr>
          <w:b/>
        </w:rPr>
      </w:pPr>
      <w:r>
        <w:rPr>
          <w:b/>
        </w:rPr>
        <w:t xml:space="preserve">NOTES </w:t>
      </w:r>
    </w:p>
    <w:p w14:paraId="10D3E72C" w14:textId="77777777" w:rsidR="007A432B" w:rsidRDefault="007A432B" w:rsidP="00F335A2">
      <w:r>
        <w:rPr>
          <w:u w:val="single"/>
        </w:rPr>
        <w:t>Note 1</w:t>
      </w:r>
      <w:r>
        <w:t>: We will not apply monitoring to IC engines that qualify for an exemption under 20.2.72.202 NMAC or 20.2.70 NMAC List of Insignificant Activities.</w:t>
      </w:r>
    </w:p>
    <w:p w14:paraId="2C583BB5" w14:textId="77777777" w:rsidR="007A432B" w:rsidRDefault="007A432B" w:rsidP="00F335A2">
      <w:pPr>
        <w:rPr>
          <w:u w:val="single"/>
        </w:rPr>
      </w:pPr>
    </w:p>
    <w:p w14:paraId="4FF7557C" w14:textId="77777777" w:rsidR="007A432B" w:rsidRDefault="007A432B" w:rsidP="00F335A2">
      <w:r>
        <w:rPr>
          <w:u w:val="single"/>
        </w:rPr>
        <w:t>Note 2</w:t>
      </w:r>
      <w:r>
        <w:t>: For any monitoring, an emission limit or standard must be identified somewhere in the permit. For example, fuel usage should be compared to the appropriate calculated maximum; rpm should be compared to the value that limits horsepower.</w:t>
      </w:r>
    </w:p>
    <w:p w14:paraId="5E9761DE" w14:textId="77777777" w:rsidR="007A432B" w:rsidRDefault="007A432B" w:rsidP="00F335A2"/>
    <w:p w14:paraId="70926A19" w14:textId="77777777" w:rsidR="007A432B" w:rsidRPr="00E10CAA" w:rsidRDefault="007A432B" w:rsidP="00F335A2">
      <w:r w:rsidRPr="00E10CAA">
        <w:rPr>
          <w:u w:val="single"/>
        </w:rPr>
        <w:t>Note 3</w:t>
      </w:r>
      <w:r w:rsidRPr="00E10CAA">
        <w:t xml:space="preserve">: Periodic Emissions Testing: “Test results that demonstrate compliance with the CO emission limits shall also be considered to demonstrate compliance with the VOC emission limits.” The rationale for this statement is that the portable analyzers do not speciate VOC compounds and the cost of a separate EPA method test is significant; therefore, AQB relies on CO monitoring to demonstrate compliance with VOC limits. Taking into account that the manufacturer tests the equipment and specifies the expected NOx, CO, and VOC emissions for a unit operating properly, as well as basic principles of combustion chemistry, if an engine test demonstrates that CO concentration fall within the emission limits, then VOC also falls within the emission limits, and the engine is performing as represented in the application. </w:t>
      </w:r>
    </w:p>
    <w:p w14:paraId="3BFD22DD" w14:textId="77777777" w:rsidR="00706F1E" w:rsidRDefault="00706F1E" w:rsidP="00F335A2">
      <w:pPr>
        <w:tabs>
          <w:tab w:val="left" w:pos="-720"/>
        </w:tabs>
        <w:rPr>
          <w:b/>
        </w:rPr>
      </w:pPr>
    </w:p>
    <w:p w14:paraId="792F53C5" w14:textId="77777777" w:rsidR="007A432B" w:rsidRDefault="007A432B" w:rsidP="00F335A2">
      <w:pPr>
        <w:tabs>
          <w:tab w:val="left" w:pos="-720"/>
        </w:tabs>
        <w:rPr>
          <w:b/>
        </w:rPr>
      </w:pPr>
      <w:r w:rsidRPr="00B00E9E">
        <w:rPr>
          <w:b/>
        </w:rPr>
        <w:t>MONITORING GUIDANCE</w:t>
      </w:r>
    </w:p>
    <w:p w14:paraId="27ADA474" w14:textId="77777777" w:rsidR="007A432B" w:rsidRPr="00B00E9E" w:rsidRDefault="007A432B" w:rsidP="00F335A2">
      <w:pPr>
        <w:tabs>
          <w:tab w:val="left" w:pos="-720"/>
        </w:tabs>
        <w:rPr>
          <w:b/>
        </w:rPr>
      </w:pPr>
    </w:p>
    <w:p w14:paraId="4B8AC198" w14:textId="77777777" w:rsidR="007A432B" w:rsidRDefault="007A432B" w:rsidP="00F335A2">
      <w:pPr>
        <w:tabs>
          <w:tab w:val="left" w:pos="-720"/>
        </w:tabs>
      </w:pPr>
      <w:r>
        <w:t>1. Opacity must be measured for each engine to show compliance with 20.2.61 NMAC. Use of natural gas will constitute compliance without measurements if such fuel is identified in the application. Engines subject to 20.2.37 NMAC particulate matter requirements are exempt from 20.2.61 NMAC.</w:t>
      </w:r>
    </w:p>
    <w:p w14:paraId="2531BAB0" w14:textId="77777777" w:rsidR="007A432B" w:rsidRDefault="007A432B" w:rsidP="00F335A2">
      <w:pPr>
        <w:tabs>
          <w:tab w:val="left" w:pos="-720"/>
        </w:tabs>
      </w:pPr>
    </w:p>
    <w:p w14:paraId="7FD3BCF0" w14:textId="77777777" w:rsidR="007A432B" w:rsidRDefault="007A432B" w:rsidP="00F335A2">
      <w:pPr>
        <w:tabs>
          <w:tab w:val="left" w:pos="-720"/>
        </w:tabs>
      </w:pPr>
      <w:r>
        <w:t xml:space="preserve">2. Annual Emissions Testing by portable analyzer is required for uncontrolled IC engines with emissions greater than 1 tpy and facility allowable emission limits greater than 95 tons per year. </w:t>
      </w:r>
    </w:p>
    <w:p w14:paraId="79043C91" w14:textId="77777777" w:rsidR="007A432B" w:rsidRDefault="007A432B" w:rsidP="00F335A2">
      <w:pPr>
        <w:tabs>
          <w:tab w:val="left" w:pos="-720"/>
        </w:tabs>
      </w:pPr>
    </w:p>
    <w:p w14:paraId="329490C5" w14:textId="77777777" w:rsidR="007A432B" w:rsidRDefault="007A432B" w:rsidP="00F335A2">
      <w:pPr>
        <w:tabs>
          <w:tab w:val="left" w:pos="-720"/>
        </w:tabs>
      </w:pPr>
      <w:r>
        <w:t>3. Quarterly Emissions Testing by portable analyzer is required for IC engines which have control equipment (AFR, catalytic converter, etc.) installed for the purpose of limiting emission rates or for IC engines operated at crossover (equal NO</w:t>
      </w:r>
      <w:r>
        <w:rPr>
          <w:vertAlign w:val="subscript"/>
        </w:rPr>
        <w:t>x</w:t>
      </w:r>
      <w:r>
        <w:t xml:space="preserve"> and CO emissions) with an AFR.</w:t>
      </w:r>
    </w:p>
    <w:p w14:paraId="0882A66B" w14:textId="77777777" w:rsidR="007A432B" w:rsidRDefault="007A432B" w:rsidP="00F335A2"/>
    <w:p w14:paraId="173709FA" w14:textId="77777777" w:rsidR="007A432B" w:rsidRDefault="007A432B" w:rsidP="00F335A2">
      <w:r>
        <w:t xml:space="preserve">4.  Fuel Usage Recordkeeping </w:t>
      </w:r>
      <w:r w:rsidR="004C47EF">
        <w:t>used to be required in the 2001 Engine monitoring protocol</w:t>
      </w:r>
      <w:r w:rsidR="0036674A">
        <w:t xml:space="preserve"> and Supple</w:t>
      </w:r>
      <w:r w:rsidR="00CE4848">
        <w:t>mental G</w:t>
      </w:r>
      <w:r w:rsidR="0036674A">
        <w:t>uidance to demonstrate compliance with a</w:t>
      </w:r>
      <w:r w:rsidR="00CE4848">
        <w:t xml:space="preserve"> physical constraint (e.g. RPM limiting device) on and </w:t>
      </w:r>
      <w:r w:rsidR="0036674A">
        <w:t>engine</w:t>
      </w:r>
      <w:r w:rsidR="00CE4848">
        <w:t>’</w:t>
      </w:r>
      <w:r w:rsidR="0036674A">
        <w:t>s capacity</w:t>
      </w:r>
      <w:r w:rsidR="004C47EF">
        <w:t xml:space="preserve">.  </w:t>
      </w:r>
      <w:r w:rsidR="00CE4848">
        <w:t xml:space="preserve">Currently, the AQB only requires an </w:t>
      </w:r>
      <w:r>
        <w:t>RPM</w:t>
      </w:r>
      <w:r w:rsidR="00CE4848">
        <w:t xml:space="preserve"> limiting device </w:t>
      </w:r>
      <w:r>
        <w:t xml:space="preserve">or the use of Governor with Seals </w:t>
      </w:r>
      <w:r w:rsidR="005C32A6">
        <w:t xml:space="preserve">to demonstrate </w:t>
      </w:r>
      <w:r>
        <w:t xml:space="preserve">that emissions </w:t>
      </w:r>
      <w:r w:rsidR="005C32A6">
        <w:t xml:space="preserve">are limited </w:t>
      </w:r>
      <w:r>
        <w:t>using deration schemes.</w:t>
      </w:r>
      <w:r w:rsidR="00CE4848">
        <w:t xml:space="preserve">  We no longer use the 2001 Supplemental Guidance but this document can still be found in the monitoring protocol archives.</w:t>
      </w:r>
      <w:r>
        <w:t xml:space="preserve"> </w:t>
      </w:r>
    </w:p>
    <w:p w14:paraId="35866AA7" w14:textId="77777777" w:rsidR="007A432B" w:rsidRDefault="007A432B" w:rsidP="00F335A2"/>
    <w:p w14:paraId="00B6504E" w14:textId="77777777" w:rsidR="007A432B" w:rsidRDefault="007A432B" w:rsidP="00F335A2">
      <w:r>
        <w:t xml:space="preserve">5.  Fuel Analysis is required when HAPs are an issue for any IC engine, or for fugitive emission sources.  Fuel Analysis </w:t>
      </w:r>
      <w:r w:rsidR="004C47EF">
        <w:t xml:space="preserve">may </w:t>
      </w:r>
      <w:r>
        <w:t xml:space="preserve">also </w:t>
      </w:r>
      <w:r w:rsidR="004C47EF">
        <w:t xml:space="preserve">be </w:t>
      </w:r>
      <w:r>
        <w:t>required for facilities that use field natural gas.</w:t>
      </w:r>
    </w:p>
    <w:p w14:paraId="6D336652" w14:textId="77777777" w:rsidR="007A432B" w:rsidRDefault="007A432B" w:rsidP="00F335A2"/>
    <w:p w14:paraId="67E95B83" w14:textId="77777777" w:rsidR="007A432B" w:rsidRDefault="007A432B" w:rsidP="00F335A2">
      <w:pPr>
        <w:tabs>
          <w:tab w:val="left" w:pos="-720"/>
        </w:tabs>
        <w:rPr>
          <w:b/>
        </w:rPr>
      </w:pPr>
      <w:r>
        <w:rPr>
          <w:b/>
        </w:rPr>
        <w:t>TESTING GUIDANCE</w:t>
      </w:r>
    </w:p>
    <w:p w14:paraId="7E68A267" w14:textId="77777777" w:rsidR="007A432B" w:rsidRDefault="007A432B" w:rsidP="00F335A2">
      <w:r>
        <w:t xml:space="preserve">See EPA’s Memorandum titled Issuance of the Clean Air Act National Stack Testing Guidance </w:t>
      </w:r>
      <w:r>
        <w:lastRenderedPageBreak/>
        <w:t xml:space="preserve">dated February 2, 2004 for additional guidance. </w:t>
      </w:r>
    </w:p>
    <w:p w14:paraId="0F2B4640" w14:textId="77777777" w:rsidR="007A432B" w:rsidRDefault="007A432B" w:rsidP="00F335A2">
      <w:pPr>
        <w:tabs>
          <w:tab w:val="left" w:pos="-720"/>
        </w:tabs>
        <w:rPr>
          <w:u w:val="single"/>
        </w:rPr>
      </w:pPr>
    </w:p>
    <w:p w14:paraId="0A32D068" w14:textId="77777777" w:rsidR="007A432B" w:rsidRPr="00294359" w:rsidRDefault="007A432B" w:rsidP="00F335A2">
      <w:pPr>
        <w:tabs>
          <w:tab w:val="left" w:pos="-720"/>
        </w:tabs>
      </w:pPr>
      <w:r>
        <w:rPr>
          <w:u w:val="single"/>
        </w:rPr>
        <w:t>For initial compliance testing</w:t>
      </w:r>
      <w:r>
        <w:t>:</w:t>
      </w:r>
    </w:p>
    <w:p w14:paraId="5A71E060" w14:textId="77777777" w:rsidR="007A432B" w:rsidRDefault="007A432B" w:rsidP="00F335A2">
      <w:pPr>
        <w:widowControl/>
        <w:numPr>
          <w:ilvl w:val="0"/>
          <w:numId w:val="4"/>
        </w:numPr>
        <w:tabs>
          <w:tab w:val="clear" w:pos="720"/>
          <w:tab w:val="num" w:pos="360"/>
        </w:tabs>
        <w:ind w:left="360"/>
        <w:jc w:val="left"/>
      </w:pPr>
      <w:r>
        <w:t xml:space="preserve">All emission units (100%) above 180 hp shall be tested. </w:t>
      </w:r>
    </w:p>
    <w:p w14:paraId="5DB99E5C" w14:textId="77777777" w:rsidR="007A432B" w:rsidRDefault="007A432B" w:rsidP="00F335A2">
      <w:pPr>
        <w:widowControl/>
        <w:numPr>
          <w:ilvl w:val="0"/>
          <w:numId w:val="4"/>
        </w:numPr>
        <w:tabs>
          <w:tab w:val="clear" w:pos="720"/>
          <w:tab w:val="num" w:pos="360"/>
        </w:tabs>
        <w:ind w:left="360"/>
        <w:jc w:val="left"/>
      </w:pPr>
      <w:r>
        <w:t xml:space="preserve">All emission units shall be tested by EPA Method if located within a sensitive area. Sensitive areas are defined as 1) within a non-attainment area, 2) within Areas Where Streamlined Permits Are Prohibited, or 3) a source for which the emissions exceed 80% of the NAAQS, not including background concentrations from other facilities. See Modeling Guidelines Document for these areas available at </w:t>
      </w:r>
      <w:hyperlink r:id="rId8" w:history="1">
        <w:r w:rsidRPr="00164E85">
          <w:rPr>
            <w:rStyle w:val="Hyperlink"/>
          </w:rPr>
          <w:t>http://www.nmenv.state.nm.us/aqb/modeling/modelingpubs.html</w:t>
        </w:r>
      </w:hyperlink>
      <w:r>
        <w:t xml:space="preserve">. </w:t>
      </w:r>
    </w:p>
    <w:p w14:paraId="34FD274F" w14:textId="77777777" w:rsidR="007A432B" w:rsidRDefault="007A432B" w:rsidP="00F335A2">
      <w:pPr>
        <w:widowControl/>
        <w:numPr>
          <w:ilvl w:val="0"/>
          <w:numId w:val="4"/>
        </w:numPr>
        <w:tabs>
          <w:tab w:val="clear" w:pos="720"/>
          <w:tab w:val="num" w:pos="360"/>
        </w:tabs>
        <w:ind w:left="360"/>
        <w:jc w:val="left"/>
      </w:pPr>
      <w:r>
        <w:t xml:space="preserve">All emission units shall be tested unless the units are (1) identical; (2) located at the same facility; (3) operated and maintained in a similar manner; (4) the permit writer is satisfied that emissions from a representative sample of identical units at the facility are less than or equal to 50% of the applicable standard; and (5) the facility can demonstrate the ability to comply with this margin of compliance on an on-going basis. </w:t>
      </w:r>
    </w:p>
    <w:p w14:paraId="6ED9CD26" w14:textId="77777777" w:rsidR="007A432B" w:rsidRDefault="007A432B" w:rsidP="00F335A2">
      <w:pPr>
        <w:widowControl/>
        <w:numPr>
          <w:ilvl w:val="0"/>
          <w:numId w:val="4"/>
        </w:numPr>
        <w:tabs>
          <w:tab w:val="clear" w:pos="720"/>
          <w:tab w:val="num" w:pos="360"/>
        </w:tabs>
        <w:ind w:left="360"/>
        <w:jc w:val="left"/>
      </w:pPr>
      <w:r>
        <w:t>For engines that meet the requirements in 3 above, only 50% of the engines are required to have an initial compliance test. Inconsistent test results may cause the remaining units to be tested.</w:t>
      </w:r>
      <w:r w:rsidRPr="00B00E9E">
        <w:t xml:space="preserve"> </w:t>
      </w:r>
    </w:p>
    <w:p w14:paraId="34A027A3" w14:textId="77777777" w:rsidR="00706F1E" w:rsidRDefault="007A432B" w:rsidP="00706F1E">
      <w:pPr>
        <w:widowControl/>
        <w:numPr>
          <w:ilvl w:val="0"/>
          <w:numId w:val="4"/>
        </w:numPr>
        <w:tabs>
          <w:tab w:val="clear" w:pos="720"/>
          <w:tab w:val="num" w:pos="360"/>
        </w:tabs>
        <w:ind w:left="360"/>
        <w:jc w:val="left"/>
      </w:pPr>
      <w:r>
        <w:t xml:space="preserve">All engines regardless of the type of turbocharging used (low or high) shall conduct initial compliance testing.  The use of low speed or high speed turbochargers does not change the above initial test requirements. </w:t>
      </w:r>
    </w:p>
    <w:p w14:paraId="7F1D635D" w14:textId="77777777" w:rsidR="00706F1E" w:rsidRDefault="00706F1E" w:rsidP="00706F1E">
      <w:pPr>
        <w:widowControl/>
        <w:jc w:val="left"/>
      </w:pPr>
    </w:p>
    <w:p w14:paraId="2579EE1C" w14:textId="77777777" w:rsidR="00706F1E" w:rsidRDefault="00706F1E" w:rsidP="00706F1E">
      <w:pPr>
        <w:widowControl/>
        <w:tabs>
          <w:tab w:val="left" w:pos="0"/>
        </w:tabs>
        <w:jc w:val="left"/>
        <w:rPr>
          <w:szCs w:val="24"/>
        </w:rPr>
      </w:pPr>
      <w:r w:rsidRPr="00706F1E">
        <w:rPr>
          <w:b/>
          <w:szCs w:val="24"/>
        </w:rPr>
        <w:t>Note: Purpose of adding in April 2015, to the engine monitoring protocol, the engine load calculation for stack testing.</w:t>
      </w:r>
      <w:r>
        <w:rPr>
          <w:szCs w:val="24"/>
        </w:rPr>
        <w:t xml:space="preserve">  These statements are taken from a 2013 memo regarding an Area of Concern that was revealed during an inspection at a compressor station. </w:t>
      </w:r>
    </w:p>
    <w:p w14:paraId="51B05D72" w14:textId="77777777" w:rsidR="00706F1E" w:rsidRDefault="00706F1E" w:rsidP="00706F1E">
      <w:pPr>
        <w:widowControl/>
        <w:tabs>
          <w:tab w:val="left" w:pos="0"/>
        </w:tabs>
        <w:jc w:val="left"/>
        <w:rPr>
          <w:szCs w:val="24"/>
        </w:rPr>
      </w:pPr>
    </w:p>
    <w:p w14:paraId="75FDBDDF" w14:textId="77777777" w:rsidR="00706F1E" w:rsidRPr="00706F1E" w:rsidRDefault="00706F1E" w:rsidP="00706F1E">
      <w:pPr>
        <w:widowControl/>
        <w:ind w:left="360" w:right="720"/>
        <w:rPr>
          <w:szCs w:val="24"/>
        </w:rPr>
      </w:pPr>
      <w:r>
        <w:rPr>
          <w:szCs w:val="24"/>
        </w:rPr>
        <w:t>“</w:t>
      </w:r>
      <w:r w:rsidRPr="00706F1E">
        <w:rPr>
          <w:szCs w:val="24"/>
        </w:rPr>
        <w:t>A review of emissions data during a current permit revision review process reveals a potential issue with the facility’s determination of engine horsepower, load percent or fuel flow.</w:t>
      </w:r>
    </w:p>
    <w:p w14:paraId="2269FD96" w14:textId="77777777" w:rsidR="00706F1E" w:rsidRPr="00706F1E" w:rsidRDefault="00706F1E" w:rsidP="00706F1E">
      <w:pPr>
        <w:widowControl/>
        <w:ind w:left="360" w:right="720"/>
        <w:rPr>
          <w:szCs w:val="24"/>
        </w:rPr>
      </w:pPr>
    </w:p>
    <w:p w14:paraId="57323AC8" w14:textId="77777777" w:rsidR="00706F1E" w:rsidRPr="00706F1E" w:rsidRDefault="00706F1E" w:rsidP="00706F1E">
      <w:pPr>
        <w:widowControl/>
        <w:ind w:left="360" w:right="720"/>
        <w:rPr>
          <w:szCs w:val="24"/>
        </w:rPr>
      </w:pPr>
      <w:r w:rsidRPr="00706F1E">
        <w:rPr>
          <w:szCs w:val="24"/>
        </w:rPr>
        <w:t>The test data in question is from the November 17, 2010 and February 7, 2012 periodic testing of Emissions Unit 1a at the facility.  This unit is a Superior, Model# 16SGTB, natural gas fired reciprocating engine.</w:t>
      </w:r>
    </w:p>
    <w:p w14:paraId="3D05FBF3" w14:textId="77777777" w:rsidR="00706F1E" w:rsidRPr="00706F1E" w:rsidRDefault="00706F1E" w:rsidP="00706F1E">
      <w:pPr>
        <w:widowControl/>
        <w:ind w:left="360" w:right="720"/>
        <w:rPr>
          <w:szCs w:val="24"/>
        </w:rPr>
      </w:pPr>
    </w:p>
    <w:p w14:paraId="299F6555" w14:textId="77777777" w:rsidR="00706F1E" w:rsidRPr="00706F1E" w:rsidRDefault="00706F1E" w:rsidP="00706F1E">
      <w:pPr>
        <w:widowControl/>
        <w:ind w:left="360" w:right="720"/>
        <w:rPr>
          <w:szCs w:val="24"/>
        </w:rPr>
      </w:pPr>
      <w:r w:rsidRPr="00706F1E">
        <w:rPr>
          <w:szCs w:val="24"/>
        </w:rPr>
        <w:t xml:space="preserve">The test results from 2010 and 2012 report that the engine was operating at 39.7 and 40.0 percent (respectively) of full load which equates to 1053 and 1060 horsepower.  The measured average fuel usage rate, of Unit 1a, during the three runs in 2010 was 3560 </w:t>
      </w:r>
      <w:proofErr w:type="spellStart"/>
      <w:r w:rsidRPr="00706F1E">
        <w:rPr>
          <w:szCs w:val="24"/>
        </w:rPr>
        <w:t>scf</w:t>
      </w:r>
      <w:proofErr w:type="spellEnd"/>
      <w:r w:rsidRPr="00706F1E">
        <w:rPr>
          <w:szCs w:val="24"/>
        </w:rPr>
        <w:t>/</w:t>
      </w:r>
      <w:proofErr w:type="spellStart"/>
      <w:r w:rsidRPr="00706F1E">
        <w:rPr>
          <w:szCs w:val="24"/>
        </w:rPr>
        <w:t>hr</w:t>
      </w:r>
      <w:proofErr w:type="spellEnd"/>
      <w:r w:rsidRPr="00706F1E">
        <w:rPr>
          <w:szCs w:val="24"/>
        </w:rPr>
        <w:t xml:space="preserve"> and in 2012 was 4055 </w:t>
      </w:r>
      <w:proofErr w:type="spellStart"/>
      <w:r w:rsidRPr="00706F1E">
        <w:rPr>
          <w:szCs w:val="24"/>
        </w:rPr>
        <w:t>scf</w:t>
      </w:r>
      <w:proofErr w:type="spellEnd"/>
      <w:r w:rsidRPr="00706F1E">
        <w:rPr>
          <w:szCs w:val="24"/>
        </w:rPr>
        <w:t>/hr.  The measured fuel heating value of the natural gas was 1068 Btu/ft</w:t>
      </w:r>
      <w:r w:rsidRPr="00706F1E">
        <w:rPr>
          <w:szCs w:val="24"/>
          <w:vertAlign w:val="superscript"/>
        </w:rPr>
        <w:t>3</w:t>
      </w:r>
      <w:r w:rsidRPr="00706F1E">
        <w:rPr>
          <w:szCs w:val="24"/>
        </w:rPr>
        <w:t xml:space="preserve"> in 2010 and 1019 in 2012 which means the engine’s average fuel input was approximately 3.8 MMBtu/</w:t>
      </w:r>
      <w:proofErr w:type="spellStart"/>
      <w:r w:rsidRPr="00706F1E">
        <w:rPr>
          <w:szCs w:val="24"/>
        </w:rPr>
        <w:t>hr</w:t>
      </w:r>
      <w:proofErr w:type="spellEnd"/>
      <w:r w:rsidRPr="00706F1E">
        <w:rPr>
          <w:szCs w:val="24"/>
        </w:rPr>
        <w:t xml:space="preserve"> in 2010 and 4.13 MMBtu/</w:t>
      </w:r>
      <w:proofErr w:type="spellStart"/>
      <w:r w:rsidRPr="00706F1E">
        <w:rPr>
          <w:szCs w:val="24"/>
        </w:rPr>
        <w:t>hr</w:t>
      </w:r>
      <w:proofErr w:type="spellEnd"/>
      <w:r w:rsidRPr="00706F1E">
        <w:rPr>
          <w:szCs w:val="24"/>
        </w:rPr>
        <w:t xml:space="preserve"> in 2012.  If the engine was actually operating at 1053 and 1060 horsepower, while burning 3.8 and 4.13 MMBtu/</w:t>
      </w:r>
      <w:proofErr w:type="spellStart"/>
      <w:r w:rsidRPr="00706F1E">
        <w:rPr>
          <w:szCs w:val="24"/>
        </w:rPr>
        <w:t>hr</w:t>
      </w:r>
      <w:proofErr w:type="spellEnd"/>
      <w:r w:rsidRPr="00706F1E">
        <w:rPr>
          <w:szCs w:val="24"/>
        </w:rPr>
        <w:t xml:space="preserve"> respectively, the Brake Specific Fuel Consumption (BSFC) would be:</w:t>
      </w:r>
    </w:p>
    <w:p w14:paraId="62FF2F5D" w14:textId="77777777" w:rsidR="00706F1E" w:rsidRPr="00706F1E" w:rsidRDefault="00706F1E" w:rsidP="00706F1E">
      <w:pPr>
        <w:widowControl/>
        <w:ind w:left="360" w:right="720"/>
        <w:rPr>
          <w:szCs w:val="24"/>
        </w:rPr>
      </w:pPr>
    </w:p>
    <w:p w14:paraId="72C8F98B" w14:textId="77777777" w:rsidR="00706F1E" w:rsidRPr="00706F1E" w:rsidRDefault="00706F1E" w:rsidP="00706F1E">
      <w:pPr>
        <w:widowControl/>
        <w:ind w:left="360" w:right="720"/>
        <w:rPr>
          <w:szCs w:val="24"/>
        </w:rPr>
      </w:pPr>
      <w:r w:rsidRPr="00706F1E">
        <w:rPr>
          <w:szCs w:val="24"/>
        </w:rPr>
        <w:tab/>
      </w:r>
      <w:r w:rsidRPr="00706F1E">
        <w:rPr>
          <w:szCs w:val="24"/>
        </w:rPr>
        <w:tab/>
      </w:r>
      <w:proofErr w:type="gramStart"/>
      <w:r w:rsidRPr="00706F1E">
        <w:rPr>
          <w:szCs w:val="24"/>
        </w:rPr>
        <w:t>BSFC(</w:t>
      </w:r>
      <w:proofErr w:type="gramEnd"/>
      <w:r w:rsidRPr="00706F1E">
        <w:rPr>
          <w:szCs w:val="24"/>
        </w:rPr>
        <w:t xml:space="preserve">2010)  =  </w:t>
      </w:r>
      <w:r w:rsidRPr="00706F1E">
        <w:rPr>
          <w:szCs w:val="24"/>
          <w:u w:val="single"/>
        </w:rPr>
        <w:t xml:space="preserve">Fuel usage </w:t>
      </w:r>
      <w:r w:rsidRPr="00706F1E">
        <w:rPr>
          <w:szCs w:val="24"/>
        </w:rPr>
        <w:t xml:space="preserve"> =  </w:t>
      </w:r>
      <w:r w:rsidRPr="00706F1E">
        <w:rPr>
          <w:szCs w:val="24"/>
          <w:u w:val="single"/>
        </w:rPr>
        <w:t>3,800,000 Btu/</w:t>
      </w:r>
      <w:proofErr w:type="spellStart"/>
      <w:r w:rsidRPr="00706F1E">
        <w:rPr>
          <w:szCs w:val="24"/>
          <w:u w:val="single"/>
        </w:rPr>
        <w:t>hr</w:t>
      </w:r>
      <w:proofErr w:type="spellEnd"/>
      <w:r w:rsidRPr="00706F1E">
        <w:rPr>
          <w:szCs w:val="24"/>
        </w:rPr>
        <w:t xml:space="preserve">  =  3609 Btu/Hp-</w:t>
      </w:r>
      <w:proofErr w:type="spellStart"/>
      <w:r w:rsidRPr="00706F1E">
        <w:rPr>
          <w:szCs w:val="24"/>
        </w:rPr>
        <w:t>hr</w:t>
      </w:r>
      <w:proofErr w:type="spellEnd"/>
    </w:p>
    <w:p w14:paraId="231A45E1" w14:textId="77777777" w:rsidR="00706F1E" w:rsidRPr="00706F1E" w:rsidRDefault="00706F1E" w:rsidP="00706F1E">
      <w:pPr>
        <w:widowControl/>
        <w:ind w:left="360" w:right="720"/>
        <w:rPr>
          <w:szCs w:val="24"/>
        </w:rPr>
      </w:pPr>
      <w:r w:rsidRPr="00706F1E">
        <w:rPr>
          <w:szCs w:val="24"/>
        </w:rPr>
        <w:tab/>
      </w:r>
      <w:r w:rsidRPr="00706F1E">
        <w:rPr>
          <w:szCs w:val="24"/>
        </w:rPr>
        <w:tab/>
      </w:r>
      <w:r w:rsidRPr="00706F1E">
        <w:rPr>
          <w:szCs w:val="24"/>
        </w:rPr>
        <w:tab/>
        <w:t xml:space="preserve">              Horsepower          1053 Hp</w:t>
      </w:r>
    </w:p>
    <w:p w14:paraId="41F7904C" w14:textId="77777777" w:rsidR="00706F1E" w:rsidRPr="00706F1E" w:rsidRDefault="00706F1E" w:rsidP="00706F1E">
      <w:pPr>
        <w:widowControl/>
        <w:ind w:left="360" w:right="720"/>
        <w:rPr>
          <w:szCs w:val="24"/>
        </w:rPr>
      </w:pPr>
      <w:r w:rsidRPr="00706F1E">
        <w:rPr>
          <w:szCs w:val="24"/>
        </w:rPr>
        <w:t>and</w:t>
      </w:r>
    </w:p>
    <w:p w14:paraId="516778FE" w14:textId="77777777" w:rsidR="00706F1E" w:rsidRPr="00706F1E" w:rsidRDefault="00706F1E" w:rsidP="00706F1E">
      <w:pPr>
        <w:widowControl/>
        <w:ind w:left="360" w:right="720"/>
        <w:rPr>
          <w:szCs w:val="24"/>
        </w:rPr>
      </w:pPr>
    </w:p>
    <w:p w14:paraId="099989C2" w14:textId="77777777" w:rsidR="00706F1E" w:rsidRPr="00706F1E" w:rsidRDefault="00706F1E" w:rsidP="00706F1E">
      <w:pPr>
        <w:widowControl/>
        <w:ind w:left="360" w:right="720"/>
        <w:rPr>
          <w:szCs w:val="24"/>
        </w:rPr>
      </w:pPr>
      <w:r w:rsidRPr="00706F1E">
        <w:rPr>
          <w:szCs w:val="24"/>
        </w:rPr>
        <w:tab/>
      </w:r>
      <w:r w:rsidRPr="00706F1E">
        <w:rPr>
          <w:szCs w:val="24"/>
        </w:rPr>
        <w:tab/>
      </w:r>
      <w:proofErr w:type="gramStart"/>
      <w:r w:rsidRPr="00706F1E">
        <w:rPr>
          <w:szCs w:val="24"/>
        </w:rPr>
        <w:t>BSFC(</w:t>
      </w:r>
      <w:proofErr w:type="gramEnd"/>
      <w:r w:rsidRPr="00706F1E">
        <w:rPr>
          <w:szCs w:val="24"/>
        </w:rPr>
        <w:t xml:space="preserve">2012)  =  </w:t>
      </w:r>
      <w:r w:rsidRPr="00706F1E">
        <w:rPr>
          <w:szCs w:val="24"/>
          <w:u w:val="single"/>
        </w:rPr>
        <w:t xml:space="preserve">Fuel usage </w:t>
      </w:r>
      <w:r w:rsidRPr="00706F1E">
        <w:rPr>
          <w:szCs w:val="24"/>
        </w:rPr>
        <w:t xml:space="preserve"> =  </w:t>
      </w:r>
      <w:r w:rsidRPr="00706F1E">
        <w:rPr>
          <w:szCs w:val="24"/>
          <w:u w:val="single"/>
        </w:rPr>
        <w:t>4,130,000 Btu/</w:t>
      </w:r>
      <w:proofErr w:type="spellStart"/>
      <w:r w:rsidRPr="00706F1E">
        <w:rPr>
          <w:szCs w:val="24"/>
          <w:u w:val="single"/>
        </w:rPr>
        <w:t>hr</w:t>
      </w:r>
      <w:proofErr w:type="spellEnd"/>
      <w:r w:rsidRPr="00706F1E">
        <w:rPr>
          <w:szCs w:val="24"/>
        </w:rPr>
        <w:t xml:space="preserve">  =  3896 Btu/Hp-</w:t>
      </w:r>
      <w:proofErr w:type="spellStart"/>
      <w:r w:rsidRPr="00706F1E">
        <w:rPr>
          <w:szCs w:val="24"/>
        </w:rPr>
        <w:t>hr</w:t>
      </w:r>
      <w:proofErr w:type="spellEnd"/>
    </w:p>
    <w:p w14:paraId="62469704" w14:textId="77777777" w:rsidR="00706F1E" w:rsidRPr="00706F1E" w:rsidRDefault="00706F1E" w:rsidP="00706F1E">
      <w:pPr>
        <w:widowControl/>
        <w:ind w:left="360" w:right="720"/>
        <w:rPr>
          <w:szCs w:val="24"/>
        </w:rPr>
      </w:pPr>
      <w:r w:rsidRPr="00706F1E">
        <w:rPr>
          <w:szCs w:val="24"/>
        </w:rPr>
        <w:tab/>
      </w:r>
      <w:r w:rsidRPr="00706F1E">
        <w:rPr>
          <w:szCs w:val="24"/>
        </w:rPr>
        <w:tab/>
      </w:r>
      <w:r w:rsidRPr="00706F1E">
        <w:rPr>
          <w:szCs w:val="24"/>
        </w:rPr>
        <w:tab/>
        <w:t xml:space="preserve">              Horsepower          1060 Hp</w:t>
      </w:r>
    </w:p>
    <w:p w14:paraId="491C4F7E" w14:textId="77777777" w:rsidR="00706F1E" w:rsidRPr="00706F1E" w:rsidRDefault="00706F1E" w:rsidP="00706F1E">
      <w:pPr>
        <w:widowControl/>
        <w:ind w:left="360" w:right="720"/>
        <w:rPr>
          <w:szCs w:val="24"/>
        </w:rPr>
      </w:pPr>
    </w:p>
    <w:p w14:paraId="5E2262D9" w14:textId="77777777" w:rsidR="00706F1E" w:rsidRPr="00706F1E" w:rsidRDefault="00706F1E" w:rsidP="00706F1E">
      <w:pPr>
        <w:widowControl/>
        <w:ind w:left="360" w:right="720"/>
        <w:rPr>
          <w:szCs w:val="24"/>
        </w:rPr>
      </w:pPr>
      <w:r w:rsidRPr="00706F1E">
        <w:rPr>
          <w:szCs w:val="24"/>
        </w:rPr>
        <w:t>BSFC is basically a measure of the efficiency of an engine, the lower the number the more efficient the engine.  Published data from Superior lists maximum engine efficiency (lowest potential BSFC) for this engine model at 7100 Btu/Hp-</w:t>
      </w:r>
      <w:proofErr w:type="spellStart"/>
      <w:r w:rsidRPr="00706F1E">
        <w:rPr>
          <w:szCs w:val="24"/>
        </w:rPr>
        <w:t>hr</w:t>
      </w:r>
      <w:proofErr w:type="spellEnd"/>
      <w:r w:rsidRPr="00706F1E">
        <w:rPr>
          <w:szCs w:val="24"/>
        </w:rPr>
        <w:t xml:space="preserve"> at 100 percent load.  The BSFC increases to 7150 at 83 percent load and 7680 at 66 percent load.  Therefore, the reported BSFC cannot be accurate.  Either the estimated load percent and horsepower or the measured fuel usage rate is in error.  </w:t>
      </w:r>
    </w:p>
    <w:p w14:paraId="68370302" w14:textId="77777777" w:rsidR="00706F1E" w:rsidRPr="00706F1E" w:rsidRDefault="00706F1E" w:rsidP="00706F1E">
      <w:pPr>
        <w:widowControl/>
        <w:ind w:left="360" w:right="720"/>
        <w:rPr>
          <w:szCs w:val="24"/>
        </w:rPr>
      </w:pPr>
    </w:p>
    <w:p w14:paraId="217B5E50" w14:textId="77777777" w:rsidR="00706F1E" w:rsidRPr="00706F1E" w:rsidRDefault="00706F1E" w:rsidP="00706F1E">
      <w:pPr>
        <w:widowControl/>
        <w:ind w:left="360" w:right="720"/>
        <w:rPr>
          <w:szCs w:val="24"/>
        </w:rPr>
      </w:pPr>
      <w:r w:rsidRPr="00706F1E">
        <w:rPr>
          <w:b/>
          <w:szCs w:val="24"/>
          <w:u w:val="single"/>
        </w:rPr>
        <w:t>Why is this important?</w:t>
      </w:r>
    </w:p>
    <w:p w14:paraId="14DDDCD6" w14:textId="77777777" w:rsidR="00706F1E" w:rsidRPr="00706F1E" w:rsidRDefault="00706F1E" w:rsidP="00706F1E">
      <w:pPr>
        <w:widowControl/>
        <w:ind w:left="360" w:right="720"/>
        <w:rPr>
          <w:szCs w:val="24"/>
        </w:rPr>
      </w:pPr>
    </w:p>
    <w:p w14:paraId="1E6DB2F2" w14:textId="77777777" w:rsidR="00706F1E" w:rsidRPr="00706F1E" w:rsidRDefault="00706F1E" w:rsidP="00706F1E">
      <w:pPr>
        <w:widowControl/>
        <w:ind w:left="360" w:right="720"/>
        <w:rPr>
          <w:szCs w:val="24"/>
        </w:rPr>
      </w:pPr>
      <w:r w:rsidRPr="00706F1E">
        <w:rPr>
          <w:szCs w:val="24"/>
        </w:rPr>
        <w:t>In this situation, the source is only limited to numerical mass emission rates (</w:t>
      </w:r>
      <w:proofErr w:type="spellStart"/>
      <w:r w:rsidRPr="00706F1E">
        <w:rPr>
          <w:szCs w:val="24"/>
        </w:rPr>
        <w:t>lbs</w:t>
      </w:r>
      <w:proofErr w:type="spellEnd"/>
      <w:r w:rsidRPr="00706F1E">
        <w:rPr>
          <w:szCs w:val="24"/>
        </w:rPr>
        <w:t>/</w:t>
      </w:r>
      <w:proofErr w:type="spellStart"/>
      <w:r w:rsidRPr="00706F1E">
        <w:rPr>
          <w:szCs w:val="24"/>
        </w:rPr>
        <w:t>hr</w:t>
      </w:r>
      <w:proofErr w:type="spellEnd"/>
      <w:r w:rsidRPr="00706F1E">
        <w:rPr>
          <w:szCs w:val="24"/>
        </w:rPr>
        <w:t>) that are not directly linked to engine output horsepower.  Therefore, the potential error in the calculated load and horsepower is secondary to determining compliance with the permitted emissions limit.</w:t>
      </w:r>
    </w:p>
    <w:p w14:paraId="7176A00A" w14:textId="77777777" w:rsidR="00706F1E" w:rsidRPr="00706F1E" w:rsidRDefault="00706F1E" w:rsidP="00706F1E">
      <w:pPr>
        <w:widowControl/>
        <w:ind w:left="360" w:right="720"/>
        <w:rPr>
          <w:szCs w:val="24"/>
        </w:rPr>
      </w:pPr>
    </w:p>
    <w:p w14:paraId="6EE68D53" w14:textId="77777777" w:rsidR="00706F1E" w:rsidRPr="00706F1E" w:rsidRDefault="00706F1E" w:rsidP="00706F1E">
      <w:pPr>
        <w:widowControl/>
        <w:ind w:left="360" w:right="720"/>
        <w:rPr>
          <w:szCs w:val="24"/>
        </w:rPr>
      </w:pPr>
      <w:r w:rsidRPr="00706F1E">
        <w:rPr>
          <w:szCs w:val="24"/>
        </w:rPr>
        <w:t>However, if we assume the fuel usage measurement is incorrect, the calculated mass emission rates would also be inaccurate given the source used the Method 19 F-factor and the measured emission concentrations to determine mass emission rates.  In order to determine accurately the mass emission rate from only a pollutant concentration and the Method 19 F-factor, an accurate measurement of the fuel flow rate and heat content (Btu/</w:t>
      </w:r>
      <w:proofErr w:type="spellStart"/>
      <w:r w:rsidRPr="00706F1E">
        <w:rPr>
          <w:szCs w:val="24"/>
        </w:rPr>
        <w:t>scf</w:t>
      </w:r>
      <w:proofErr w:type="spellEnd"/>
      <w:r w:rsidRPr="00706F1E">
        <w:rPr>
          <w:szCs w:val="24"/>
        </w:rPr>
        <w:t>) is critical.  Given the reported fuel efficiency (i.e. BSFC) is approximately one-half the minimum achievable for this engine (3600 vs. 7100), it is reasonable to assume the mass emission rates are also underestimated by approximately 50 percent.</w:t>
      </w:r>
      <w:r>
        <w:rPr>
          <w:szCs w:val="24"/>
        </w:rPr>
        <w:t>”</w:t>
      </w:r>
      <w:r w:rsidRPr="00706F1E">
        <w:rPr>
          <w:szCs w:val="24"/>
        </w:rPr>
        <w:t xml:space="preserve"> </w:t>
      </w:r>
    </w:p>
    <w:p w14:paraId="1DC8A65C" w14:textId="77777777" w:rsidR="00706F1E" w:rsidRDefault="00706F1E" w:rsidP="00706F1E">
      <w:pPr>
        <w:widowControl/>
        <w:jc w:val="left"/>
      </w:pPr>
    </w:p>
    <w:p w14:paraId="35A2DEFB" w14:textId="77777777" w:rsidR="007A432B" w:rsidRDefault="007A432B" w:rsidP="00F335A2">
      <w:pPr>
        <w:widowControl/>
        <w:jc w:val="left"/>
        <w:rPr>
          <w:u w:val="single"/>
        </w:rPr>
      </w:pPr>
    </w:p>
    <w:p w14:paraId="44510891" w14:textId="77777777" w:rsidR="007A432B" w:rsidRDefault="007A432B" w:rsidP="00F335A2">
      <w:r>
        <w:rPr>
          <w:b/>
          <w:sz w:val="28"/>
        </w:rPr>
        <w:tab/>
      </w:r>
      <w:r>
        <w:t xml:space="preserve"> </w:t>
      </w:r>
    </w:p>
    <w:sectPr w:rsidR="007A432B" w:rsidSect="00C830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D620" w14:textId="77777777" w:rsidR="00106957" w:rsidRDefault="00106957" w:rsidP="00F16793">
      <w:r>
        <w:separator/>
      </w:r>
    </w:p>
  </w:endnote>
  <w:endnote w:type="continuationSeparator" w:id="0">
    <w:p w14:paraId="632C44B3" w14:textId="77777777" w:rsidR="00106957" w:rsidRDefault="00106957" w:rsidP="00F1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DDAA" w14:textId="77777777" w:rsidR="00343E6F" w:rsidRDefault="00343E6F" w:rsidP="00F16793">
    <w:pPr>
      <w:pStyle w:val="Header"/>
      <w:rPr>
        <w:rStyle w:val="PageNumber"/>
        <w:sz w:val="22"/>
        <w:szCs w:val="22"/>
      </w:rPr>
    </w:pPr>
    <w:r>
      <w:rPr>
        <w:sz w:val="22"/>
        <w:szCs w:val="22"/>
      </w:rPr>
      <w:t xml:space="preserve">IC Engine Monitoring Protocol                                                                                                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765AA1">
      <w:rPr>
        <w:rStyle w:val="PageNumber"/>
        <w:noProof/>
        <w:sz w:val="22"/>
        <w:szCs w:val="22"/>
      </w:rPr>
      <w:t>3</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765AA1">
      <w:rPr>
        <w:rStyle w:val="PageNumber"/>
        <w:noProof/>
        <w:sz w:val="22"/>
        <w:szCs w:val="22"/>
      </w:rPr>
      <w:t>11</w:t>
    </w:r>
    <w:r>
      <w:rPr>
        <w:rStyle w:val="PageNumber"/>
        <w:sz w:val="22"/>
        <w:szCs w:val="22"/>
      </w:rPr>
      <w:fldChar w:fldCharType="end"/>
    </w:r>
  </w:p>
  <w:p w14:paraId="5C59A151" w14:textId="77777777" w:rsidR="00343E6F" w:rsidRPr="00F16793" w:rsidRDefault="00343E6F" w:rsidP="00F1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F9CA9" w14:textId="77777777" w:rsidR="00106957" w:rsidRDefault="00106957" w:rsidP="00F16793">
      <w:r>
        <w:separator/>
      </w:r>
    </w:p>
  </w:footnote>
  <w:footnote w:type="continuationSeparator" w:id="0">
    <w:p w14:paraId="0A417F48" w14:textId="77777777" w:rsidR="00106957" w:rsidRDefault="00106957" w:rsidP="00F1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398"/>
    <w:multiLevelType w:val="hybridMultilevel"/>
    <w:tmpl w:val="9A9CFFBC"/>
    <w:lvl w:ilvl="0" w:tplc="1E5AA89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067158"/>
    <w:multiLevelType w:val="hybridMultilevel"/>
    <w:tmpl w:val="2818952A"/>
    <w:lvl w:ilvl="0" w:tplc="4C90A30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1C1E741E"/>
    <w:multiLevelType w:val="hybridMultilevel"/>
    <w:tmpl w:val="6CC68824"/>
    <w:lvl w:ilvl="0" w:tplc="472E0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12F39"/>
    <w:multiLevelType w:val="multilevel"/>
    <w:tmpl w:val="DCCAB5E0"/>
    <w:lvl w:ilvl="0">
      <w:start w:val="100"/>
      <w:numFmt w:val="decimal"/>
      <w:pStyle w:val="Heading2"/>
      <w:isLgl/>
      <w:lvlText w:val="%1"/>
      <w:lvlJc w:val="left"/>
      <w:pPr>
        <w:tabs>
          <w:tab w:val="num" w:pos="0"/>
        </w:tabs>
      </w:pPr>
      <w:rPr>
        <w:rFonts w:cs="Times New Roman" w:hint="default"/>
        <w:u w:val="none"/>
      </w:rPr>
    </w:lvl>
    <w:lvl w:ilvl="1">
      <w:start w:val="1"/>
      <w:numFmt w:val="decimal"/>
      <w:lvlText w:val="220.%2"/>
      <w:lvlJc w:val="left"/>
      <w:pPr>
        <w:tabs>
          <w:tab w:val="num" w:pos="1080"/>
        </w:tabs>
        <w:ind w:left="720" w:hanging="720"/>
      </w:pPr>
      <w:rPr>
        <w:rFonts w:cs="Times New Roman" w:hint="default"/>
      </w:rPr>
    </w:lvl>
    <w:lvl w:ilvl="2">
      <w:start w:val="1"/>
      <w:numFmt w:val="decimal"/>
      <w:lvlText w:val="%1.%3"/>
      <w:lvlJc w:val="left"/>
      <w:pPr>
        <w:tabs>
          <w:tab w:val="num" w:pos="1080"/>
        </w:tabs>
        <w:ind w:left="1080" w:hanging="10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4E2B118D"/>
    <w:multiLevelType w:val="hybridMultilevel"/>
    <w:tmpl w:val="D2AED618"/>
    <w:lvl w:ilvl="0" w:tplc="FFFFFFFF">
      <w:start w:val="1"/>
      <w:numFmt w:val="upperLetter"/>
      <w:pStyle w:val="AQBCLvl-1"/>
      <w:lvlText w:val="%1."/>
      <w:lvlJc w:val="left"/>
      <w:pPr>
        <w:tabs>
          <w:tab w:val="num" w:pos="1116"/>
        </w:tabs>
        <w:ind w:left="1116" w:hanging="576"/>
      </w:pPr>
      <w:rPr>
        <w:rFonts w:cs="Times New Roman" w:hint="default"/>
        <w:color w:val="auto"/>
      </w:rPr>
    </w:lvl>
    <w:lvl w:ilvl="1" w:tplc="FFFFFFFF">
      <w:start w:val="1"/>
      <w:numFmt w:val="decimal"/>
      <w:pStyle w:val="AQBCLvl-2"/>
      <w:lvlText w:val="(%2)"/>
      <w:lvlJc w:val="right"/>
      <w:pPr>
        <w:tabs>
          <w:tab w:val="num" w:pos="1440"/>
        </w:tabs>
        <w:ind w:left="1440" w:hanging="360"/>
      </w:pPr>
      <w:rPr>
        <w:rFonts w:cs="Times New Roman" w:hint="default"/>
        <w:strike w:val="0"/>
      </w:rPr>
    </w:lvl>
    <w:lvl w:ilvl="2" w:tplc="FFFFFFFF">
      <w:start w:val="1"/>
      <w:numFmt w:val="lowerLetter"/>
      <w:pStyle w:val="AQBCLvl-3"/>
      <w:lvlText w:val="(%3)"/>
      <w:lvlJc w:val="left"/>
      <w:pPr>
        <w:tabs>
          <w:tab w:val="num" w:pos="2160"/>
        </w:tabs>
        <w:ind w:left="2160" w:hanging="720"/>
      </w:pPr>
      <w:rPr>
        <w:rFonts w:cs="Times New Roman" w:hint="default"/>
      </w:rPr>
    </w:lvl>
    <w:lvl w:ilvl="3" w:tplc="FFFFFFFF">
      <w:start w:val="1"/>
      <w:numFmt w:val="lowerRoman"/>
      <w:pStyle w:val="AQBCLvl-4"/>
      <w:lvlText w:val="%4."/>
      <w:lvlJc w:val="righ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532907E8"/>
    <w:multiLevelType w:val="hybridMultilevel"/>
    <w:tmpl w:val="6B0AB5C8"/>
    <w:lvl w:ilvl="0" w:tplc="4FE0C02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4"/>
    <w:lvlOverride w:ilvl="0">
      <w:startOverride w:val="1"/>
    </w:lvlOverride>
  </w:num>
  <w:num w:numId="3">
    <w:abstractNumId w:val="3"/>
  </w:num>
  <w:num w:numId="4">
    <w:abstractNumId w:val="0"/>
  </w:num>
  <w:num w:numId="5">
    <w:abstractNumId w:val="4"/>
    <w:lvlOverride w:ilvl="0">
      <w:startOverride w:val="1"/>
    </w:lvlOverride>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E7"/>
    <w:rsid w:val="00002948"/>
    <w:rsid w:val="000155C0"/>
    <w:rsid w:val="000160DB"/>
    <w:rsid w:val="00025841"/>
    <w:rsid w:val="00026A07"/>
    <w:rsid w:val="00027637"/>
    <w:rsid w:val="000518A7"/>
    <w:rsid w:val="00056DE1"/>
    <w:rsid w:val="000701EE"/>
    <w:rsid w:val="0007071A"/>
    <w:rsid w:val="0007343C"/>
    <w:rsid w:val="00074376"/>
    <w:rsid w:val="000744BC"/>
    <w:rsid w:val="000947C3"/>
    <w:rsid w:val="000A1179"/>
    <w:rsid w:val="000A46AC"/>
    <w:rsid w:val="000B3254"/>
    <w:rsid w:val="000B6DB2"/>
    <w:rsid w:val="000B7292"/>
    <w:rsid w:val="000C1006"/>
    <w:rsid w:val="000E1DEB"/>
    <w:rsid w:val="00102D7B"/>
    <w:rsid w:val="00103B27"/>
    <w:rsid w:val="00106957"/>
    <w:rsid w:val="0010749B"/>
    <w:rsid w:val="001435A8"/>
    <w:rsid w:val="00150E2F"/>
    <w:rsid w:val="0015205E"/>
    <w:rsid w:val="001537DC"/>
    <w:rsid w:val="001545EC"/>
    <w:rsid w:val="00164E85"/>
    <w:rsid w:val="00165526"/>
    <w:rsid w:val="00166216"/>
    <w:rsid w:val="00176C22"/>
    <w:rsid w:val="001B3E9B"/>
    <w:rsid w:val="001C00FF"/>
    <w:rsid w:val="001C63E9"/>
    <w:rsid w:val="001D1304"/>
    <w:rsid w:val="00201DDB"/>
    <w:rsid w:val="00222AC7"/>
    <w:rsid w:val="002231CC"/>
    <w:rsid w:val="00232938"/>
    <w:rsid w:val="00247B83"/>
    <w:rsid w:val="00250B91"/>
    <w:rsid w:val="00252236"/>
    <w:rsid w:val="00252F26"/>
    <w:rsid w:val="00283967"/>
    <w:rsid w:val="00294359"/>
    <w:rsid w:val="002A4200"/>
    <w:rsid w:val="002C5B43"/>
    <w:rsid w:val="002D3E57"/>
    <w:rsid w:val="002D640D"/>
    <w:rsid w:val="002F4037"/>
    <w:rsid w:val="002F5018"/>
    <w:rsid w:val="00326980"/>
    <w:rsid w:val="00336805"/>
    <w:rsid w:val="00343E6F"/>
    <w:rsid w:val="0036674A"/>
    <w:rsid w:val="00370C5F"/>
    <w:rsid w:val="00377678"/>
    <w:rsid w:val="00383C09"/>
    <w:rsid w:val="00386B79"/>
    <w:rsid w:val="00396DAF"/>
    <w:rsid w:val="003A4482"/>
    <w:rsid w:val="003C2BAE"/>
    <w:rsid w:val="003F6367"/>
    <w:rsid w:val="004120FA"/>
    <w:rsid w:val="00432561"/>
    <w:rsid w:val="00437068"/>
    <w:rsid w:val="004433C6"/>
    <w:rsid w:val="00447444"/>
    <w:rsid w:val="00471EF8"/>
    <w:rsid w:val="00483FFC"/>
    <w:rsid w:val="004856C8"/>
    <w:rsid w:val="00485A8D"/>
    <w:rsid w:val="004A0E6C"/>
    <w:rsid w:val="004A100D"/>
    <w:rsid w:val="004A7328"/>
    <w:rsid w:val="004C47EF"/>
    <w:rsid w:val="004F2E24"/>
    <w:rsid w:val="004F420F"/>
    <w:rsid w:val="004F66AD"/>
    <w:rsid w:val="005050B1"/>
    <w:rsid w:val="005177E8"/>
    <w:rsid w:val="00520308"/>
    <w:rsid w:val="00520EFE"/>
    <w:rsid w:val="00522877"/>
    <w:rsid w:val="00530F9C"/>
    <w:rsid w:val="005346E7"/>
    <w:rsid w:val="0054390A"/>
    <w:rsid w:val="00555AC4"/>
    <w:rsid w:val="0055634C"/>
    <w:rsid w:val="00562135"/>
    <w:rsid w:val="0058242E"/>
    <w:rsid w:val="00585A23"/>
    <w:rsid w:val="00596494"/>
    <w:rsid w:val="005A3176"/>
    <w:rsid w:val="005A7DAA"/>
    <w:rsid w:val="005B48D8"/>
    <w:rsid w:val="005C32A6"/>
    <w:rsid w:val="005D1EEB"/>
    <w:rsid w:val="00601229"/>
    <w:rsid w:val="006067E8"/>
    <w:rsid w:val="0062402D"/>
    <w:rsid w:val="006277F7"/>
    <w:rsid w:val="00646866"/>
    <w:rsid w:val="006548C5"/>
    <w:rsid w:val="006605B0"/>
    <w:rsid w:val="006614CE"/>
    <w:rsid w:val="0066557A"/>
    <w:rsid w:val="00676EAC"/>
    <w:rsid w:val="0068125A"/>
    <w:rsid w:val="00681778"/>
    <w:rsid w:val="00681C92"/>
    <w:rsid w:val="00681D9D"/>
    <w:rsid w:val="006845B8"/>
    <w:rsid w:val="00685A0E"/>
    <w:rsid w:val="00692BDB"/>
    <w:rsid w:val="00693DED"/>
    <w:rsid w:val="006A1FED"/>
    <w:rsid w:val="006A4A4D"/>
    <w:rsid w:val="006B3293"/>
    <w:rsid w:val="006B44C6"/>
    <w:rsid w:val="006E3DEB"/>
    <w:rsid w:val="00700BB6"/>
    <w:rsid w:val="007058F5"/>
    <w:rsid w:val="00706F1E"/>
    <w:rsid w:val="00710BC9"/>
    <w:rsid w:val="00727911"/>
    <w:rsid w:val="00733BAF"/>
    <w:rsid w:val="00746E9A"/>
    <w:rsid w:val="0075341B"/>
    <w:rsid w:val="00765AA1"/>
    <w:rsid w:val="00766F7C"/>
    <w:rsid w:val="007819B6"/>
    <w:rsid w:val="00790307"/>
    <w:rsid w:val="00797D06"/>
    <w:rsid w:val="007A432B"/>
    <w:rsid w:val="007C0FA2"/>
    <w:rsid w:val="007C5555"/>
    <w:rsid w:val="007E2253"/>
    <w:rsid w:val="007F47BB"/>
    <w:rsid w:val="00821A34"/>
    <w:rsid w:val="008311A6"/>
    <w:rsid w:val="00841836"/>
    <w:rsid w:val="008441E0"/>
    <w:rsid w:val="00854A75"/>
    <w:rsid w:val="00867B4D"/>
    <w:rsid w:val="00873972"/>
    <w:rsid w:val="00896D37"/>
    <w:rsid w:val="00897E3A"/>
    <w:rsid w:val="008A790C"/>
    <w:rsid w:val="008A7C30"/>
    <w:rsid w:val="008C7427"/>
    <w:rsid w:val="008D1FBC"/>
    <w:rsid w:val="008D6494"/>
    <w:rsid w:val="008E670C"/>
    <w:rsid w:val="008F13C5"/>
    <w:rsid w:val="009032D2"/>
    <w:rsid w:val="0090607D"/>
    <w:rsid w:val="009066DA"/>
    <w:rsid w:val="009101FF"/>
    <w:rsid w:val="009144B7"/>
    <w:rsid w:val="00915528"/>
    <w:rsid w:val="00916B1D"/>
    <w:rsid w:val="009338A6"/>
    <w:rsid w:val="00957498"/>
    <w:rsid w:val="00957C0C"/>
    <w:rsid w:val="00964A99"/>
    <w:rsid w:val="0099074D"/>
    <w:rsid w:val="00995071"/>
    <w:rsid w:val="009954F1"/>
    <w:rsid w:val="009B03DD"/>
    <w:rsid w:val="009D0A8C"/>
    <w:rsid w:val="009E269D"/>
    <w:rsid w:val="009E45E7"/>
    <w:rsid w:val="009E6D0F"/>
    <w:rsid w:val="00A00368"/>
    <w:rsid w:val="00A01F73"/>
    <w:rsid w:val="00A161CE"/>
    <w:rsid w:val="00A25DE4"/>
    <w:rsid w:val="00A33387"/>
    <w:rsid w:val="00A45229"/>
    <w:rsid w:val="00A46A74"/>
    <w:rsid w:val="00A53C03"/>
    <w:rsid w:val="00A612AD"/>
    <w:rsid w:val="00A65278"/>
    <w:rsid w:val="00A76CAC"/>
    <w:rsid w:val="00A901E6"/>
    <w:rsid w:val="00AA051E"/>
    <w:rsid w:val="00AA2C8A"/>
    <w:rsid w:val="00AD229D"/>
    <w:rsid w:val="00B00E9E"/>
    <w:rsid w:val="00B06684"/>
    <w:rsid w:val="00B178D6"/>
    <w:rsid w:val="00B20341"/>
    <w:rsid w:val="00B42F1B"/>
    <w:rsid w:val="00B614DB"/>
    <w:rsid w:val="00B6429C"/>
    <w:rsid w:val="00B73FCA"/>
    <w:rsid w:val="00B7522A"/>
    <w:rsid w:val="00B87FD3"/>
    <w:rsid w:val="00BA1EE9"/>
    <w:rsid w:val="00BB0475"/>
    <w:rsid w:val="00BB644F"/>
    <w:rsid w:val="00BC6F4C"/>
    <w:rsid w:val="00BD263C"/>
    <w:rsid w:val="00BF2BF8"/>
    <w:rsid w:val="00BF7563"/>
    <w:rsid w:val="00C071AB"/>
    <w:rsid w:val="00C11C79"/>
    <w:rsid w:val="00C17CA7"/>
    <w:rsid w:val="00C20F73"/>
    <w:rsid w:val="00C32C75"/>
    <w:rsid w:val="00C40EFD"/>
    <w:rsid w:val="00C52984"/>
    <w:rsid w:val="00C632E7"/>
    <w:rsid w:val="00C664BC"/>
    <w:rsid w:val="00C72C6D"/>
    <w:rsid w:val="00C8303B"/>
    <w:rsid w:val="00C8349D"/>
    <w:rsid w:val="00C86B24"/>
    <w:rsid w:val="00C93747"/>
    <w:rsid w:val="00C93DC1"/>
    <w:rsid w:val="00CA1EBB"/>
    <w:rsid w:val="00CB0874"/>
    <w:rsid w:val="00CC1FFA"/>
    <w:rsid w:val="00CC7E01"/>
    <w:rsid w:val="00CE4848"/>
    <w:rsid w:val="00CE6023"/>
    <w:rsid w:val="00D12505"/>
    <w:rsid w:val="00D1391C"/>
    <w:rsid w:val="00D204E2"/>
    <w:rsid w:val="00D21A10"/>
    <w:rsid w:val="00D243EA"/>
    <w:rsid w:val="00D374FD"/>
    <w:rsid w:val="00D41183"/>
    <w:rsid w:val="00D46EBE"/>
    <w:rsid w:val="00D46EEB"/>
    <w:rsid w:val="00D5070E"/>
    <w:rsid w:val="00D55345"/>
    <w:rsid w:val="00D563F6"/>
    <w:rsid w:val="00D63165"/>
    <w:rsid w:val="00D66885"/>
    <w:rsid w:val="00D6790F"/>
    <w:rsid w:val="00D85FE8"/>
    <w:rsid w:val="00D96F52"/>
    <w:rsid w:val="00DC2690"/>
    <w:rsid w:val="00DD1EFC"/>
    <w:rsid w:val="00DE7930"/>
    <w:rsid w:val="00DF3B67"/>
    <w:rsid w:val="00E06BB4"/>
    <w:rsid w:val="00E10CAA"/>
    <w:rsid w:val="00E1538A"/>
    <w:rsid w:val="00E345E9"/>
    <w:rsid w:val="00E4219F"/>
    <w:rsid w:val="00E53F07"/>
    <w:rsid w:val="00E53F48"/>
    <w:rsid w:val="00E56498"/>
    <w:rsid w:val="00EA393A"/>
    <w:rsid w:val="00EA56B6"/>
    <w:rsid w:val="00EB28B7"/>
    <w:rsid w:val="00EC015D"/>
    <w:rsid w:val="00EC2703"/>
    <w:rsid w:val="00EC46AF"/>
    <w:rsid w:val="00ED5BD0"/>
    <w:rsid w:val="00EE413F"/>
    <w:rsid w:val="00EE7739"/>
    <w:rsid w:val="00EF5119"/>
    <w:rsid w:val="00EF5C0A"/>
    <w:rsid w:val="00F16793"/>
    <w:rsid w:val="00F30C84"/>
    <w:rsid w:val="00F335A2"/>
    <w:rsid w:val="00F35189"/>
    <w:rsid w:val="00F44860"/>
    <w:rsid w:val="00F47F4A"/>
    <w:rsid w:val="00F531BD"/>
    <w:rsid w:val="00F66736"/>
    <w:rsid w:val="00F6789A"/>
    <w:rsid w:val="00F724C3"/>
    <w:rsid w:val="00FA562D"/>
    <w:rsid w:val="00FB2326"/>
    <w:rsid w:val="00FD2787"/>
    <w:rsid w:val="00FE0087"/>
    <w:rsid w:val="00FE50FC"/>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3B6ED"/>
  <w14:defaultImageDpi w14:val="0"/>
  <w15:chartTrackingRefBased/>
  <w15:docId w15:val="{BB6C9C02-1176-46B6-8743-5FBBD69F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5A2"/>
    <w:pPr>
      <w:widowControl w:val="0"/>
      <w:jc w:val="both"/>
    </w:pPr>
    <w:rPr>
      <w:rFonts w:ascii="Times New Roman" w:hAnsi="Times New Roman"/>
      <w:sz w:val="24"/>
    </w:rPr>
  </w:style>
  <w:style w:type="paragraph" w:styleId="Heading1">
    <w:name w:val="heading 1"/>
    <w:basedOn w:val="Normal"/>
    <w:next w:val="Normal"/>
    <w:link w:val="Heading1Char"/>
    <w:uiPriority w:val="99"/>
    <w:qFormat/>
    <w:rsid w:val="00F335A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335A2"/>
    <w:pPr>
      <w:keepNext/>
      <w:keepLines/>
      <w:numPr>
        <w:numId w:val="3"/>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3C2BAE"/>
    <w:pPr>
      <w:keepNext/>
      <w:tabs>
        <w:tab w:val="num" w:pos="1800"/>
      </w:tabs>
      <w:ind w:left="1440"/>
      <w:jc w:val="center"/>
      <w:outlineLvl w:val="2"/>
    </w:pPr>
    <w:rPr>
      <w:u w:val="single"/>
    </w:rPr>
  </w:style>
  <w:style w:type="paragraph" w:styleId="Heading4">
    <w:name w:val="heading 4"/>
    <w:basedOn w:val="Normal"/>
    <w:next w:val="Normal"/>
    <w:link w:val="Heading4Char"/>
    <w:uiPriority w:val="99"/>
    <w:qFormat/>
    <w:locked/>
    <w:rsid w:val="003C2BAE"/>
    <w:pPr>
      <w:keepNext/>
      <w:tabs>
        <w:tab w:val="num" w:pos="2520"/>
      </w:tabs>
      <w:spacing w:before="240" w:after="60"/>
      <w:ind w:left="2160"/>
      <w:outlineLvl w:val="3"/>
    </w:pPr>
    <w:rPr>
      <w:b/>
      <w:bCs/>
      <w:sz w:val="28"/>
      <w:szCs w:val="28"/>
    </w:rPr>
  </w:style>
  <w:style w:type="paragraph" w:styleId="Heading5">
    <w:name w:val="heading 5"/>
    <w:basedOn w:val="Normal"/>
    <w:next w:val="Normal"/>
    <w:link w:val="Heading5Char"/>
    <w:uiPriority w:val="99"/>
    <w:qFormat/>
    <w:locked/>
    <w:rsid w:val="003C2BAE"/>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uiPriority w:val="99"/>
    <w:qFormat/>
    <w:locked/>
    <w:rsid w:val="003C2BAE"/>
    <w:pPr>
      <w:tabs>
        <w:tab w:val="num" w:pos="3960"/>
      </w:tabs>
      <w:spacing w:before="240" w:after="60"/>
      <w:ind w:left="3600"/>
      <w:outlineLvl w:val="5"/>
    </w:pPr>
    <w:rPr>
      <w:b/>
      <w:bCs/>
      <w:sz w:val="22"/>
      <w:szCs w:val="22"/>
    </w:rPr>
  </w:style>
  <w:style w:type="paragraph" w:styleId="Heading7">
    <w:name w:val="heading 7"/>
    <w:basedOn w:val="Normal"/>
    <w:next w:val="Normal"/>
    <w:link w:val="Heading7Char"/>
    <w:uiPriority w:val="99"/>
    <w:qFormat/>
    <w:locked/>
    <w:rsid w:val="003C2BAE"/>
    <w:pPr>
      <w:tabs>
        <w:tab w:val="num" w:pos="4680"/>
      </w:tabs>
      <w:spacing w:before="240" w:after="60"/>
      <w:ind w:left="4320"/>
      <w:outlineLvl w:val="6"/>
    </w:pPr>
    <w:rPr>
      <w:szCs w:val="24"/>
    </w:rPr>
  </w:style>
  <w:style w:type="paragraph" w:styleId="Heading8">
    <w:name w:val="heading 8"/>
    <w:basedOn w:val="Normal"/>
    <w:next w:val="Normal"/>
    <w:link w:val="Heading8Char"/>
    <w:uiPriority w:val="99"/>
    <w:qFormat/>
    <w:locked/>
    <w:rsid w:val="003C2BAE"/>
    <w:pPr>
      <w:tabs>
        <w:tab w:val="num" w:pos="5400"/>
      </w:tabs>
      <w:spacing w:before="240" w:after="60"/>
      <w:ind w:left="5040"/>
      <w:outlineLvl w:val="7"/>
    </w:pPr>
    <w:rPr>
      <w:i/>
      <w:iCs/>
      <w:szCs w:val="24"/>
    </w:rPr>
  </w:style>
  <w:style w:type="paragraph" w:styleId="Heading9">
    <w:name w:val="heading 9"/>
    <w:basedOn w:val="Normal"/>
    <w:next w:val="Normal"/>
    <w:link w:val="Heading9Char"/>
    <w:uiPriority w:val="99"/>
    <w:qFormat/>
    <w:locked/>
    <w:rsid w:val="003C2BAE"/>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35A2"/>
    <w:rPr>
      <w:rFonts w:ascii="Cambria" w:hAnsi="Cambria"/>
      <w:b/>
      <w:color w:val="365F91"/>
      <w:sz w:val="28"/>
    </w:rPr>
  </w:style>
  <w:style w:type="character" w:customStyle="1" w:styleId="Heading2Char">
    <w:name w:val="Heading 2 Char"/>
    <w:link w:val="Heading2"/>
    <w:uiPriority w:val="99"/>
    <w:locked/>
    <w:rsid w:val="00F335A2"/>
    <w:rPr>
      <w:rFonts w:ascii="Cambria" w:hAnsi="Cambria"/>
      <w:b/>
      <w:color w:val="4F81BD"/>
      <w:sz w:val="26"/>
    </w:rPr>
  </w:style>
  <w:style w:type="character" w:customStyle="1" w:styleId="Heading3Char">
    <w:name w:val="Heading 3 Char"/>
    <w:link w:val="Heading3"/>
    <w:uiPriority w:val="99"/>
    <w:semiHidden/>
    <w:locked/>
    <w:rsid w:val="00D66885"/>
    <w:rPr>
      <w:rFonts w:ascii="Cambria" w:hAnsi="Cambria"/>
      <w:b/>
      <w:sz w:val="26"/>
    </w:rPr>
  </w:style>
  <w:style w:type="character" w:customStyle="1" w:styleId="Heading4Char">
    <w:name w:val="Heading 4 Char"/>
    <w:link w:val="Heading4"/>
    <w:uiPriority w:val="99"/>
    <w:semiHidden/>
    <w:locked/>
    <w:rsid w:val="00D66885"/>
    <w:rPr>
      <w:rFonts w:ascii="Calibri" w:hAnsi="Calibri"/>
      <w:b/>
      <w:sz w:val="28"/>
    </w:rPr>
  </w:style>
  <w:style w:type="character" w:customStyle="1" w:styleId="Heading5Char">
    <w:name w:val="Heading 5 Char"/>
    <w:link w:val="Heading5"/>
    <w:uiPriority w:val="99"/>
    <w:semiHidden/>
    <w:locked/>
    <w:rsid w:val="00D66885"/>
    <w:rPr>
      <w:rFonts w:ascii="Calibri" w:hAnsi="Calibri"/>
      <w:b/>
      <w:i/>
      <w:sz w:val="26"/>
    </w:rPr>
  </w:style>
  <w:style w:type="character" w:customStyle="1" w:styleId="Heading6Char">
    <w:name w:val="Heading 6 Char"/>
    <w:link w:val="Heading6"/>
    <w:uiPriority w:val="99"/>
    <w:semiHidden/>
    <w:locked/>
    <w:rsid w:val="00D66885"/>
    <w:rPr>
      <w:rFonts w:ascii="Calibri" w:hAnsi="Calibri"/>
      <w:b/>
    </w:rPr>
  </w:style>
  <w:style w:type="character" w:customStyle="1" w:styleId="Heading7Char">
    <w:name w:val="Heading 7 Char"/>
    <w:link w:val="Heading7"/>
    <w:uiPriority w:val="99"/>
    <w:semiHidden/>
    <w:locked/>
    <w:rsid w:val="00D66885"/>
    <w:rPr>
      <w:rFonts w:ascii="Calibri" w:hAnsi="Calibri"/>
      <w:sz w:val="24"/>
    </w:rPr>
  </w:style>
  <w:style w:type="character" w:customStyle="1" w:styleId="Heading8Char">
    <w:name w:val="Heading 8 Char"/>
    <w:link w:val="Heading8"/>
    <w:uiPriority w:val="99"/>
    <w:semiHidden/>
    <w:locked/>
    <w:rsid w:val="00D66885"/>
    <w:rPr>
      <w:rFonts w:ascii="Calibri" w:hAnsi="Calibri"/>
      <w:i/>
      <w:sz w:val="24"/>
    </w:rPr>
  </w:style>
  <w:style w:type="character" w:customStyle="1" w:styleId="Heading9Char">
    <w:name w:val="Heading 9 Char"/>
    <w:link w:val="Heading9"/>
    <w:uiPriority w:val="99"/>
    <w:semiHidden/>
    <w:locked/>
    <w:rsid w:val="00D66885"/>
    <w:rPr>
      <w:rFonts w:ascii="Cambria" w:hAnsi="Cambria"/>
    </w:rPr>
  </w:style>
  <w:style w:type="paragraph" w:customStyle="1" w:styleId="AQBCLvl-1">
    <w:name w:val="AQBC Lvl-1"/>
    <w:link w:val="AQBCLvl-1CharChar"/>
    <w:uiPriority w:val="99"/>
    <w:qFormat/>
    <w:rsid w:val="00F335A2"/>
    <w:pPr>
      <w:numPr>
        <w:numId w:val="1"/>
      </w:numPr>
      <w:spacing w:beforeLines="100"/>
      <w:jc w:val="both"/>
    </w:pPr>
    <w:rPr>
      <w:rFonts w:ascii="Times New Roman" w:hAnsi="Times New Roman"/>
      <w:sz w:val="24"/>
    </w:rPr>
  </w:style>
  <w:style w:type="paragraph" w:customStyle="1" w:styleId="AQBCLvl-2">
    <w:name w:val="AQBC Lvl-2"/>
    <w:uiPriority w:val="99"/>
    <w:qFormat/>
    <w:rsid w:val="00F335A2"/>
    <w:pPr>
      <w:numPr>
        <w:ilvl w:val="1"/>
        <w:numId w:val="1"/>
      </w:numPr>
      <w:spacing w:beforeLines="50"/>
      <w:jc w:val="both"/>
    </w:pPr>
    <w:rPr>
      <w:rFonts w:ascii="Times New Roman" w:hAnsi="Times New Roman"/>
      <w:sz w:val="24"/>
    </w:rPr>
  </w:style>
  <w:style w:type="paragraph" w:styleId="TOC4">
    <w:name w:val="toc 4"/>
    <w:basedOn w:val="Normal"/>
    <w:next w:val="Normal"/>
    <w:autoRedefine/>
    <w:uiPriority w:val="99"/>
    <w:semiHidden/>
    <w:rsid w:val="00F335A2"/>
    <w:pPr>
      <w:widowControl/>
      <w:ind w:left="720"/>
      <w:jc w:val="left"/>
    </w:pPr>
    <w:rPr>
      <w:szCs w:val="24"/>
    </w:rPr>
  </w:style>
  <w:style w:type="paragraph" w:customStyle="1" w:styleId="AQBHFreeStyle">
    <w:name w:val="AQBH Free Style"/>
    <w:basedOn w:val="Heading1"/>
    <w:qFormat/>
    <w:rsid w:val="00F335A2"/>
    <w:pPr>
      <w:keepLines w:val="0"/>
      <w:spacing w:after="240"/>
    </w:pPr>
    <w:rPr>
      <w:rFonts w:ascii="Times New Roman Bold" w:hAnsi="Times New Roman Bold"/>
      <w:bCs w:val="0"/>
      <w:smallCaps/>
      <w:color w:val="auto"/>
      <w:sz w:val="24"/>
      <w:szCs w:val="20"/>
      <w:u w:val="single"/>
    </w:rPr>
  </w:style>
  <w:style w:type="character" w:customStyle="1" w:styleId="AQBCLvl-1CharChar">
    <w:name w:val="AQBC Lvl-1 Char Char"/>
    <w:link w:val="AQBCLvl-1"/>
    <w:uiPriority w:val="99"/>
    <w:locked/>
    <w:rsid w:val="00F335A2"/>
    <w:rPr>
      <w:rFonts w:ascii="Times New Roman" w:hAnsi="Times New Roman"/>
      <w:sz w:val="20"/>
    </w:rPr>
  </w:style>
  <w:style w:type="paragraph" w:customStyle="1" w:styleId="AQBLvl-1Condition">
    <w:name w:val="AQB Lvl-1 Condition"/>
    <w:link w:val="AQBLvl-1ConditionCharChar1"/>
    <w:uiPriority w:val="99"/>
    <w:rsid w:val="00F335A2"/>
    <w:pPr>
      <w:tabs>
        <w:tab w:val="num" w:pos="936"/>
      </w:tabs>
      <w:spacing w:beforeLines="100"/>
      <w:ind w:left="936" w:hanging="576"/>
      <w:jc w:val="both"/>
    </w:pPr>
    <w:rPr>
      <w:rFonts w:ascii="Times New Roman" w:hAnsi="Times New Roman"/>
      <w:sz w:val="24"/>
    </w:rPr>
  </w:style>
  <w:style w:type="paragraph" w:customStyle="1" w:styleId="AQBCLvl-3">
    <w:name w:val="AQBC Lvl-3"/>
    <w:basedOn w:val="AQBCLvl-2"/>
    <w:uiPriority w:val="99"/>
    <w:qFormat/>
    <w:rsid w:val="00F335A2"/>
    <w:pPr>
      <w:numPr>
        <w:ilvl w:val="2"/>
      </w:numPr>
    </w:pPr>
  </w:style>
  <w:style w:type="paragraph" w:customStyle="1" w:styleId="AQBCLvl-4">
    <w:name w:val="AQBC Lvl-4"/>
    <w:basedOn w:val="AQBCLvl-3"/>
    <w:uiPriority w:val="99"/>
    <w:qFormat/>
    <w:rsid w:val="00F335A2"/>
    <w:pPr>
      <w:numPr>
        <w:ilvl w:val="3"/>
      </w:numPr>
      <w:tabs>
        <w:tab w:val="left" w:pos="2340"/>
      </w:tabs>
    </w:pPr>
  </w:style>
  <w:style w:type="character" w:customStyle="1" w:styleId="AQBLvl-1ConditionCharChar1">
    <w:name w:val="AQB Lvl-1 Condition Char Char1"/>
    <w:link w:val="AQBLvl-1Condition"/>
    <w:uiPriority w:val="99"/>
    <w:locked/>
    <w:rsid w:val="00F335A2"/>
    <w:rPr>
      <w:rFonts w:ascii="Times New Roman" w:hAnsi="Times New Roman"/>
      <w:sz w:val="24"/>
      <w:lang w:val="en-US" w:eastAsia="en-US"/>
    </w:rPr>
  </w:style>
  <w:style w:type="paragraph" w:customStyle="1" w:styleId="AQBTCondition">
    <w:name w:val="AQBT Condition"/>
    <w:basedOn w:val="Normal"/>
    <w:uiPriority w:val="99"/>
    <w:rsid w:val="00F335A2"/>
  </w:style>
  <w:style w:type="paragraph" w:styleId="BodyTextIndent3">
    <w:name w:val="Body Text Indent 3"/>
    <w:basedOn w:val="Normal"/>
    <w:link w:val="BodyTextIndent3Char"/>
    <w:uiPriority w:val="99"/>
    <w:rsid w:val="00F335A2"/>
    <w:pPr>
      <w:spacing w:after="120"/>
      <w:ind w:left="360"/>
    </w:pPr>
    <w:rPr>
      <w:sz w:val="16"/>
      <w:szCs w:val="16"/>
    </w:rPr>
  </w:style>
  <w:style w:type="character" w:customStyle="1" w:styleId="BodyTextIndent3Char">
    <w:name w:val="Body Text Indent 3 Char"/>
    <w:link w:val="BodyTextIndent3"/>
    <w:uiPriority w:val="99"/>
    <w:locked/>
    <w:rsid w:val="00F335A2"/>
    <w:rPr>
      <w:rFonts w:ascii="Times New Roman" w:hAnsi="Times New Roman"/>
      <w:sz w:val="16"/>
    </w:rPr>
  </w:style>
  <w:style w:type="paragraph" w:customStyle="1" w:styleId="ConditionIndent">
    <w:name w:val="Condition Indent"/>
    <w:basedOn w:val="Normal"/>
    <w:uiPriority w:val="99"/>
    <w:rsid w:val="00F335A2"/>
    <w:pPr>
      <w:widowControl/>
      <w:tabs>
        <w:tab w:val="left" w:pos="-1440"/>
        <w:tab w:val="num" w:pos="1440"/>
      </w:tabs>
      <w:snapToGrid w:val="0"/>
      <w:spacing w:before="240"/>
      <w:ind w:left="1440" w:hanging="720"/>
    </w:pPr>
  </w:style>
  <w:style w:type="paragraph" w:styleId="Title">
    <w:name w:val="Title"/>
    <w:basedOn w:val="Normal"/>
    <w:link w:val="TitleChar"/>
    <w:uiPriority w:val="99"/>
    <w:qFormat/>
    <w:rsid w:val="00F335A2"/>
    <w:pPr>
      <w:autoSpaceDE w:val="0"/>
      <w:autoSpaceDN w:val="0"/>
      <w:adjustRightInd w:val="0"/>
      <w:jc w:val="center"/>
    </w:pPr>
    <w:rPr>
      <w:rFonts w:eastAsia="MS Mincho"/>
      <w:b/>
      <w:bCs/>
      <w:szCs w:val="24"/>
      <w:u w:val="single"/>
    </w:rPr>
  </w:style>
  <w:style w:type="character" w:customStyle="1" w:styleId="TitleChar">
    <w:name w:val="Title Char"/>
    <w:link w:val="Title"/>
    <w:uiPriority w:val="99"/>
    <w:locked/>
    <w:rsid w:val="00F335A2"/>
    <w:rPr>
      <w:rFonts w:ascii="Times New Roman" w:eastAsia="MS Mincho" w:hAnsi="Times New Roman"/>
      <w:b/>
      <w:sz w:val="24"/>
      <w:u w:val="single"/>
    </w:rPr>
  </w:style>
  <w:style w:type="paragraph" w:customStyle="1" w:styleId="AQBLvl-2Condition">
    <w:name w:val="AQB Lvl-2 Condition"/>
    <w:uiPriority w:val="99"/>
    <w:rsid w:val="00F335A2"/>
    <w:pPr>
      <w:tabs>
        <w:tab w:val="num" w:pos="1440"/>
      </w:tabs>
      <w:spacing w:beforeLines="50"/>
      <w:ind w:left="1440" w:hanging="360"/>
      <w:jc w:val="both"/>
    </w:pPr>
    <w:rPr>
      <w:rFonts w:ascii="Times New Roman" w:hAnsi="Times New Roman"/>
      <w:sz w:val="24"/>
    </w:rPr>
  </w:style>
  <w:style w:type="paragraph" w:customStyle="1" w:styleId="AQBLvl-3Condition">
    <w:name w:val="AQB Lvl-3 Condition"/>
    <w:basedOn w:val="AQBLvl-2Condition"/>
    <w:uiPriority w:val="99"/>
    <w:rsid w:val="00F335A2"/>
    <w:pPr>
      <w:tabs>
        <w:tab w:val="clear" w:pos="1440"/>
        <w:tab w:val="num" w:pos="2160"/>
      </w:tabs>
      <w:ind w:left="2160" w:hanging="720"/>
    </w:pPr>
  </w:style>
  <w:style w:type="paragraph" w:customStyle="1" w:styleId="AQBLvl-4Condition">
    <w:name w:val="AQB Lvl-4 Condition"/>
    <w:basedOn w:val="AQBLvl-3Condition"/>
    <w:uiPriority w:val="99"/>
    <w:rsid w:val="00F335A2"/>
    <w:pPr>
      <w:tabs>
        <w:tab w:val="clear" w:pos="2160"/>
        <w:tab w:val="left" w:pos="2340"/>
        <w:tab w:val="num" w:pos="2880"/>
      </w:tabs>
      <w:ind w:left="2880" w:hanging="360"/>
    </w:pPr>
  </w:style>
  <w:style w:type="character" w:styleId="Hyperlink">
    <w:name w:val="Hyperlink"/>
    <w:uiPriority w:val="99"/>
    <w:rsid w:val="00F335A2"/>
    <w:rPr>
      <w:color w:val="0000FF"/>
      <w:u w:val="single"/>
    </w:rPr>
  </w:style>
  <w:style w:type="paragraph" w:styleId="Header">
    <w:name w:val="header"/>
    <w:basedOn w:val="Normal"/>
    <w:link w:val="HeaderChar"/>
    <w:uiPriority w:val="99"/>
    <w:rsid w:val="00F16793"/>
    <w:pPr>
      <w:tabs>
        <w:tab w:val="center" w:pos="4680"/>
        <w:tab w:val="right" w:pos="9360"/>
      </w:tabs>
    </w:pPr>
  </w:style>
  <w:style w:type="character" w:customStyle="1" w:styleId="HeaderChar">
    <w:name w:val="Header Char"/>
    <w:link w:val="Header"/>
    <w:uiPriority w:val="99"/>
    <w:semiHidden/>
    <w:locked/>
    <w:rsid w:val="00F16793"/>
    <w:rPr>
      <w:rFonts w:ascii="Times New Roman" w:hAnsi="Times New Roman"/>
      <w:sz w:val="20"/>
    </w:rPr>
  </w:style>
  <w:style w:type="paragraph" w:styleId="Footer">
    <w:name w:val="footer"/>
    <w:basedOn w:val="Normal"/>
    <w:link w:val="FooterChar"/>
    <w:uiPriority w:val="99"/>
    <w:rsid w:val="00F16793"/>
    <w:pPr>
      <w:tabs>
        <w:tab w:val="center" w:pos="4680"/>
        <w:tab w:val="right" w:pos="9360"/>
      </w:tabs>
    </w:pPr>
  </w:style>
  <w:style w:type="character" w:customStyle="1" w:styleId="FooterChar">
    <w:name w:val="Footer Char"/>
    <w:link w:val="Footer"/>
    <w:uiPriority w:val="99"/>
    <w:locked/>
    <w:rsid w:val="00F16793"/>
    <w:rPr>
      <w:rFonts w:ascii="Times New Roman" w:hAnsi="Times New Roman"/>
      <w:sz w:val="20"/>
    </w:rPr>
  </w:style>
  <w:style w:type="character" w:styleId="PageNumber">
    <w:name w:val="page number"/>
    <w:uiPriority w:val="99"/>
    <w:rsid w:val="00F16793"/>
  </w:style>
  <w:style w:type="paragraph" w:styleId="BalloonText">
    <w:name w:val="Balloon Text"/>
    <w:basedOn w:val="Normal"/>
    <w:link w:val="BalloonTextChar"/>
    <w:uiPriority w:val="99"/>
    <w:semiHidden/>
    <w:rsid w:val="003C2BAE"/>
    <w:rPr>
      <w:rFonts w:ascii="Tahoma" w:hAnsi="Tahoma" w:cs="Tahoma"/>
      <w:sz w:val="16"/>
      <w:szCs w:val="16"/>
    </w:rPr>
  </w:style>
  <w:style w:type="character" w:customStyle="1" w:styleId="BalloonTextChar">
    <w:name w:val="Balloon Text Char"/>
    <w:link w:val="BalloonText"/>
    <w:uiPriority w:val="99"/>
    <w:semiHidden/>
    <w:locked/>
    <w:rsid w:val="00D66885"/>
    <w:rPr>
      <w:rFonts w:ascii="Times New Roman" w:hAnsi="Times New Roman"/>
      <w:sz w:val="2"/>
    </w:rPr>
  </w:style>
  <w:style w:type="character" w:customStyle="1" w:styleId="AQBCLvl-1Char">
    <w:name w:val="AQBC Lvl-1 Char"/>
    <w:uiPriority w:val="99"/>
    <w:rsid w:val="007058F5"/>
    <w:rPr>
      <w:sz w:val="24"/>
    </w:rPr>
  </w:style>
  <w:style w:type="paragraph" w:styleId="NormalWeb">
    <w:name w:val="Normal (Web)"/>
    <w:basedOn w:val="Normal"/>
    <w:uiPriority w:val="99"/>
    <w:semiHidden/>
    <w:unhideWhenUsed/>
    <w:locked/>
    <w:rsid w:val="00710BC9"/>
    <w:pPr>
      <w:widowControl/>
      <w:spacing w:before="100" w:beforeAutospacing="1" w:after="100" w:afterAutospacing="1"/>
      <w:ind w:firstLine="480"/>
      <w:jc w:val="left"/>
    </w:pPr>
    <w:rPr>
      <w:szCs w:val="24"/>
    </w:rPr>
  </w:style>
  <w:style w:type="character" w:styleId="CommentReference">
    <w:name w:val="annotation reference"/>
    <w:uiPriority w:val="99"/>
    <w:semiHidden/>
    <w:unhideWhenUsed/>
    <w:locked/>
    <w:rsid w:val="00C632E7"/>
    <w:rPr>
      <w:sz w:val="16"/>
      <w:szCs w:val="16"/>
    </w:rPr>
  </w:style>
  <w:style w:type="paragraph" w:styleId="CommentText">
    <w:name w:val="annotation text"/>
    <w:basedOn w:val="Normal"/>
    <w:link w:val="CommentTextChar"/>
    <w:uiPriority w:val="99"/>
    <w:semiHidden/>
    <w:unhideWhenUsed/>
    <w:locked/>
    <w:rsid w:val="00C632E7"/>
    <w:rPr>
      <w:sz w:val="20"/>
    </w:rPr>
  </w:style>
  <w:style w:type="character" w:customStyle="1" w:styleId="CommentTextChar">
    <w:name w:val="Comment Text Char"/>
    <w:link w:val="CommentText"/>
    <w:uiPriority w:val="99"/>
    <w:semiHidden/>
    <w:rsid w:val="00C632E7"/>
    <w:rPr>
      <w:rFonts w:ascii="Times New Roman" w:hAnsi="Times New Roman"/>
    </w:rPr>
  </w:style>
  <w:style w:type="paragraph" w:styleId="CommentSubject">
    <w:name w:val="annotation subject"/>
    <w:basedOn w:val="CommentText"/>
    <w:next w:val="CommentText"/>
    <w:link w:val="CommentSubjectChar"/>
    <w:uiPriority w:val="99"/>
    <w:semiHidden/>
    <w:unhideWhenUsed/>
    <w:locked/>
    <w:rsid w:val="00C632E7"/>
    <w:rPr>
      <w:b/>
      <w:bCs/>
    </w:rPr>
  </w:style>
  <w:style w:type="character" w:customStyle="1" w:styleId="CommentSubjectChar">
    <w:name w:val="Comment Subject Char"/>
    <w:link w:val="CommentSubject"/>
    <w:uiPriority w:val="99"/>
    <w:semiHidden/>
    <w:rsid w:val="00C632E7"/>
    <w:rPr>
      <w:rFonts w:ascii="Times New Roman" w:hAnsi="Times New Roman"/>
      <w:b/>
      <w:bCs/>
    </w:rPr>
  </w:style>
  <w:style w:type="paragraph" w:styleId="BodyText">
    <w:name w:val="Body Text"/>
    <w:basedOn w:val="Normal"/>
    <w:link w:val="BodyTextChar"/>
    <w:uiPriority w:val="99"/>
    <w:semiHidden/>
    <w:unhideWhenUsed/>
    <w:locked/>
    <w:rsid w:val="00681778"/>
    <w:pPr>
      <w:spacing w:after="120"/>
    </w:pPr>
  </w:style>
  <w:style w:type="character" w:customStyle="1" w:styleId="BodyTextChar">
    <w:name w:val="Body Text Char"/>
    <w:link w:val="BodyText"/>
    <w:uiPriority w:val="99"/>
    <w:semiHidden/>
    <w:rsid w:val="006817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541317">
      <w:marLeft w:val="0"/>
      <w:marRight w:val="0"/>
      <w:marTop w:val="30"/>
      <w:marBottom w:val="750"/>
      <w:divBdr>
        <w:top w:val="none" w:sz="0" w:space="0" w:color="auto"/>
        <w:left w:val="none" w:sz="0" w:space="0" w:color="auto"/>
        <w:bottom w:val="none" w:sz="0" w:space="0" w:color="auto"/>
        <w:right w:val="none" w:sz="0" w:space="0" w:color="auto"/>
      </w:divBdr>
      <w:divsChild>
        <w:div w:id="1479541318">
          <w:marLeft w:val="0"/>
          <w:marRight w:val="0"/>
          <w:marTop w:val="0"/>
          <w:marBottom w:val="0"/>
          <w:divBdr>
            <w:top w:val="none" w:sz="0" w:space="0" w:color="auto"/>
            <w:left w:val="none" w:sz="0" w:space="0" w:color="auto"/>
            <w:bottom w:val="none" w:sz="0" w:space="0" w:color="auto"/>
            <w:right w:val="none" w:sz="0" w:space="0" w:color="auto"/>
          </w:divBdr>
        </w:div>
      </w:divsChild>
    </w:div>
    <w:div w:id="1479541323">
      <w:marLeft w:val="0"/>
      <w:marRight w:val="0"/>
      <w:marTop w:val="30"/>
      <w:marBottom w:val="750"/>
      <w:divBdr>
        <w:top w:val="none" w:sz="0" w:space="0" w:color="auto"/>
        <w:left w:val="none" w:sz="0" w:space="0" w:color="auto"/>
        <w:bottom w:val="none" w:sz="0" w:space="0" w:color="auto"/>
        <w:right w:val="none" w:sz="0" w:space="0" w:color="auto"/>
      </w:divBdr>
      <w:divsChild>
        <w:div w:id="1479541321">
          <w:marLeft w:val="0"/>
          <w:marRight w:val="0"/>
          <w:marTop w:val="0"/>
          <w:marBottom w:val="0"/>
          <w:divBdr>
            <w:top w:val="none" w:sz="0" w:space="0" w:color="auto"/>
            <w:left w:val="none" w:sz="0" w:space="0" w:color="auto"/>
            <w:bottom w:val="none" w:sz="0" w:space="0" w:color="auto"/>
            <w:right w:val="none" w:sz="0" w:space="0" w:color="auto"/>
          </w:divBdr>
        </w:div>
      </w:divsChild>
    </w:div>
    <w:div w:id="1479541324">
      <w:marLeft w:val="0"/>
      <w:marRight w:val="0"/>
      <w:marTop w:val="30"/>
      <w:marBottom w:val="750"/>
      <w:divBdr>
        <w:top w:val="none" w:sz="0" w:space="0" w:color="auto"/>
        <w:left w:val="none" w:sz="0" w:space="0" w:color="auto"/>
        <w:bottom w:val="none" w:sz="0" w:space="0" w:color="auto"/>
        <w:right w:val="none" w:sz="0" w:space="0" w:color="auto"/>
      </w:divBdr>
      <w:divsChild>
        <w:div w:id="1479541322">
          <w:marLeft w:val="0"/>
          <w:marRight w:val="0"/>
          <w:marTop w:val="0"/>
          <w:marBottom w:val="0"/>
          <w:divBdr>
            <w:top w:val="none" w:sz="0" w:space="0" w:color="auto"/>
            <w:left w:val="none" w:sz="0" w:space="0" w:color="auto"/>
            <w:bottom w:val="none" w:sz="0" w:space="0" w:color="auto"/>
            <w:right w:val="none" w:sz="0" w:space="0" w:color="auto"/>
          </w:divBdr>
        </w:div>
      </w:divsChild>
    </w:div>
    <w:div w:id="1479541326">
      <w:marLeft w:val="0"/>
      <w:marRight w:val="0"/>
      <w:marTop w:val="30"/>
      <w:marBottom w:val="750"/>
      <w:divBdr>
        <w:top w:val="none" w:sz="0" w:space="0" w:color="auto"/>
        <w:left w:val="none" w:sz="0" w:space="0" w:color="auto"/>
        <w:bottom w:val="none" w:sz="0" w:space="0" w:color="auto"/>
        <w:right w:val="none" w:sz="0" w:space="0" w:color="auto"/>
      </w:divBdr>
      <w:divsChild>
        <w:div w:id="1479541320">
          <w:marLeft w:val="0"/>
          <w:marRight w:val="0"/>
          <w:marTop w:val="0"/>
          <w:marBottom w:val="0"/>
          <w:divBdr>
            <w:top w:val="none" w:sz="0" w:space="0" w:color="auto"/>
            <w:left w:val="none" w:sz="0" w:space="0" w:color="auto"/>
            <w:bottom w:val="none" w:sz="0" w:space="0" w:color="auto"/>
            <w:right w:val="none" w:sz="0" w:space="0" w:color="auto"/>
          </w:divBdr>
        </w:div>
      </w:divsChild>
    </w:div>
    <w:div w:id="1479541327">
      <w:marLeft w:val="0"/>
      <w:marRight w:val="0"/>
      <w:marTop w:val="30"/>
      <w:marBottom w:val="750"/>
      <w:divBdr>
        <w:top w:val="none" w:sz="0" w:space="0" w:color="auto"/>
        <w:left w:val="none" w:sz="0" w:space="0" w:color="auto"/>
        <w:bottom w:val="none" w:sz="0" w:space="0" w:color="auto"/>
        <w:right w:val="none" w:sz="0" w:space="0" w:color="auto"/>
      </w:divBdr>
      <w:divsChild>
        <w:div w:id="1479541319">
          <w:marLeft w:val="0"/>
          <w:marRight w:val="0"/>
          <w:marTop w:val="0"/>
          <w:marBottom w:val="0"/>
          <w:divBdr>
            <w:top w:val="none" w:sz="0" w:space="0" w:color="auto"/>
            <w:left w:val="none" w:sz="0" w:space="0" w:color="auto"/>
            <w:bottom w:val="none" w:sz="0" w:space="0" w:color="auto"/>
            <w:right w:val="none" w:sz="0" w:space="0" w:color="auto"/>
          </w:divBdr>
        </w:div>
      </w:divsChild>
    </w:div>
    <w:div w:id="1479541329">
      <w:marLeft w:val="0"/>
      <w:marRight w:val="0"/>
      <w:marTop w:val="30"/>
      <w:marBottom w:val="750"/>
      <w:divBdr>
        <w:top w:val="none" w:sz="0" w:space="0" w:color="auto"/>
        <w:left w:val="none" w:sz="0" w:space="0" w:color="auto"/>
        <w:bottom w:val="none" w:sz="0" w:space="0" w:color="auto"/>
        <w:right w:val="none" w:sz="0" w:space="0" w:color="auto"/>
      </w:divBdr>
      <w:divsChild>
        <w:div w:id="1479541328">
          <w:marLeft w:val="0"/>
          <w:marRight w:val="0"/>
          <w:marTop w:val="0"/>
          <w:marBottom w:val="0"/>
          <w:divBdr>
            <w:top w:val="none" w:sz="0" w:space="0" w:color="auto"/>
            <w:left w:val="none" w:sz="0" w:space="0" w:color="auto"/>
            <w:bottom w:val="none" w:sz="0" w:space="0" w:color="auto"/>
            <w:right w:val="none" w:sz="0" w:space="0" w:color="auto"/>
          </w:divBdr>
        </w:div>
      </w:divsChild>
    </w:div>
    <w:div w:id="1479541330">
      <w:marLeft w:val="0"/>
      <w:marRight w:val="0"/>
      <w:marTop w:val="30"/>
      <w:marBottom w:val="750"/>
      <w:divBdr>
        <w:top w:val="none" w:sz="0" w:space="0" w:color="auto"/>
        <w:left w:val="none" w:sz="0" w:space="0" w:color="auto"/>
        <w:bottom w:val="none" w:sz="0" w:space="0" w:color="auto"/>
        <w:right w:val="none" w:sz="0" w:space="0" w:color="auto"/>
      </w:divBdr>
      <w:divsChild>
        <w:div w:id="1479541325">
          <w:marLeft w:val="0"/>
          <w:marRight w:val="0"/>
          <w:marTop w:val="0"/>
          <w:marBottom w:val="0"/>
          <w:divBdr>
            <w:top w:val="none" w:sz="0" w:space="0" w:color="auto"/>
            <w:left w:val="none" w:sz="0" w:space="0" w:color="auto"/>
            <w:bottom w:val="none" w:sz="0" w:space="0" w:color="auto"/>
            <w:right w:val="none" w:sz="0" w:space="0" w:color="auto"/>
          </w:divBdr>
        </w:div>
      </w:divsChild>
    </w:div>
    <w:div w:id="1479541331">
      <w:marLeft w:val="0"/>
      <w:marRight w:val="0"/>
      <w:marTop w:val="30"/>
      <w:marBottom w:val="750"/>
      <w:divBdr>
        <w:top w:val="none" w:sz="0" w:space="0" w:color="auto"/>
        <w:left w:val="none" w:sz="0" w:space="0" w:color="auto"/>
        <w:bottom w:val="none" w:sz="0" w:space="0" w:color="auto"/>
        <w:right w:val="none" w:sz="0" w:space="0" w:color="auto"/>
      </w:divBdr>
      <w:divsChild>
        <w:div w:id="147954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env.state.nm.us/aqb/modeling/modelingpubs.html" TargetMode="External"/><Relationship Id="rId3" Type="http://schemas.openxmlformats.org/officeDocument/2006/relationships/settings" Target="settings.xml"/><Relationship Id="rId7" Type="http://schemas.openxmlformats.org/officeDocument/2006/relationships/hyperlink" Target="file:///C:\Users\Cember.Hardison\AppData\Local\Microsoft\Windows\Temporary%20Internet%20Files\Content.Outlook\AppData\Local\Microsoft\Windows\Temporary%20Internet%20Files\Content.Outlook\Permitting-Guidance-Documents\Engines\Exterran%20Engine%20Integrated%20Control%20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4250</Words>
  <Characters>23700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NSR &amp; TV: IC ENGINES MONITORING PROTOCOL –</vt:lpstr>
    </vt:vector>
  </TitlesOfParts>
  <Company>Hewlett-Packard</Company>
  <LinksUpToDate>false</LinksUpToDate>
  <CharactersWithSpaces>27895</CharactersWithSpaces>
  <SharedDoc>false</SharedDoc>
  <HLinks>
    <vt:vector size="12" baseType="variant">
      <vt:variant>
        <vt:i4>3276925</vt:i4>
      </vt:variant>
      <vt:variant>
        <vt:i4>3</vt:i4>
      </vt:variant>
      <vt:variant>
        <vt:i4>0</vt:i4>
      </vt:variant>
      <vt:variant>
        <vt:i4>5</vt:i4>
      </vt:variant>
      <vt:variant>
        <vt:lpwstr>http://www.nmenv.state.nm.us/aqb/modeling/modelingpubs.html</vt:lpwstr>
      </vt:variant>
      <vt:variant>
        <vt:lpwstr/>
      </vt:variant>
      <vt:variant>
        <vt:i4>2883603</vt:i4>
      </vt:variant>
      <vt:variant>
        <vt:i4>0</vt:i4>
      </vt:variant>
      <vt:variant>
        <vt:i4>0</vt:i4>
      </vt:variant>
      <vt:variant>
        <vt:i4>5</vt:i4>
      </vt:variant>
      <vt:variant>
        <vt:lpwstr>C:\Users\Cember.Hardison\AppData\Local\Microsoft\Windows\Temporary Internet Files\Content.Outlook\AppData\Local\Microsoft\Windows\Temporary Internet Files\Content.Outlook\Permitting-Guidance-Documents\Engines\Exterran Engine Integrated Control 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NSR &amp; TV: IC ENGINES MONITORING PROTOCOL –</dc:title>
  <dc:subject/>
  <dc:creator>Albes</dc:creator>
  <cp:keywords/>
  <cp:lastModifiedBy>Cristina Eads</cp:lastModifiedBy>
  <cp:revision>2</cp:revision>
  <cp:lastPrinted>2016-01-20T21:00:00Z</cp:lastPrinted>
  <dcterms:created xsi:type="dcterms:W3CDTF">2019-05-30T21:27:00Z</dcterms:created>
  <dcterms:modified xsi:type="dcterms:W3CDTF">2019-05-30T21:27:00Z</dcterms:modified>
</cp:coreProperties>
</file>