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233" w:rsidRDefault="00E31233" w:rsidP="00DA1B84">
      <w:pPr>
        <w:spacing w:line="240" w:lineRule="exact"/>
        <w:jc w:val="center"/>
        <w:rPr>
          <w:b/>
        </w:rPr>
      </w:pPr>
      <w:bookmarkStart w:id="0" w:name="_Toc229187459"/>
      <w:bookmarkStart w:id="1" w:name="_GoBack"/>
      <w:bookmarkEnd w:id="1"/>
      <w:r>
        <w:rPr>
          <w:b/>
        </w:rPr>
        <w:t>NEW MEXICO AIR QUALITY BUREAU</w:t>
      </w:r>
    </w:p>
    <w:p w:rsidR="00E31233" w:rsidRDefault="00256763" w:rsidP="00DA1B84">
      <w:pPr>
        <w:spacing w:line="240" w:lineRule="exact"/>
        <w:jc w:val="center"/>
        <w:rPr>
          <w:b/>
        </w:rPr>
      </w:pPr>
      <w:r>
        <w:rPr>
          <w:b/>
        </w:rPr>
        <w:t xml:space="preserve">NSR </w:t>
      </w:r>
      <w:r w:rsidR="00EB6DB7">
        <w:rPr>
          <w:b/>
        </w:rPr>
        <w:t>&amp;</w:t>
      </w:r>
      <w:r>
        <w:rPr>
          <w:b/>
        </w:rPr>
        <w:t xml:space="preserve"> TV: </w:t>
      </w:r>
      <w:r w:rsidRPr="00256763">
        <w:rPr>
          <w:b/>
        </w:rPr>
        <w:t xml:space="preserve">TANKS </w:t>
      </w:r>
      <w:r w:rsidR="00E31233">
        <w:rPr>
          <w:b/>
        </w:rPr>
        <w:t xml:space="preserve">&amp; LOADING </w:t>
      </w:r>
      <w:r w:rsidR="00BC5938" w:rsidRPr="00256763">
        <w:rPr>
          <w:b/>
        </w:rPr>
        <w:t>MONITORING PROTOCOL</w:t>
      </w:r>
      <w:r w:rsidR="00E31233">
        <w:rPr>
          <w:b/>
        </w:rPr>
        <w:t xml:space="preserve"> -</w:t>
      </w:r>
    </w:p>
    <w:p w:rsidR="00BC5938" w:rsidRDefault="00EB6DB7" w:rsidP="00DA1B84">
      <w:pPr>
        <w:spacing w:line="240" w:lineRule="exact"/>
        <w:jc w:val="center"/>
        <w:rPr>
          <w:b/>
        </w:rPr>
      </w:pPr>
      <w:r>
        <w:rPr>
          <w:b/>
        </w:rPr>
        <w:t>PERMIT TEMPLATE LANGUAGE</w:t>
      </w:r>
    </w:p>
    <w:p w:rsidR="00672AAE" w:rsidRPr="00256763" w:rsidRDefault="00C62671" w:rsidP="00DA1B84">
      <w:pPr>
        <w:spacing w:line="240" w:lineRule="exact"/>
        <w:jc w:val="center"/>
        <w:rPr>
          <w:b/>
        </w:rPr>
      </w:pPr>
      <w:r>
        <w:rPr>
          <w:b/>
        </w:rPr>
        <w:t xml:space="preserve">Version: </w:t>
      </w:r>
      <w:r w:rsidR="00057DB7">
        <w:rPr>
          <w:b/>
        </w:rPr>
        <w:t>November 13</w:t>
      </w:r>
      <w:r w:rsidR="00BC3508">
        <w:rPr>
          <w:b/>
        </w:rPr>
        <w:t>,</w:t>
      </w:r>
      <w:r>
        <w:rPr>
          <w:b/>
        </w:rPr>
        <w:t xml:space="preserve"> </w:t>
      </w:r>
      <w:r w:rsidR="003B66E8">
        <w:rPr>
          <w:b/>
        </w:rPr>
        <w:t>201</w:t>
      </w:r>
      <w:r w:rsidR="00EE20D6">
        <w:rPr>
          <w:b/>
        </w:rPr>
        <w:t>2</w:t>
      </w:r>
    </w:p>
    <w:p w:rsidR="00DA1B84" w:rsidRDefault="00DA1B84" w:rsidP="00672AAE">
      <w:pPr>
        <w:spacing w:line="240" w:lineRule="exact"/>
        <w:jc w:val="left"/>
        <w:rPr>
          <w:color w:val="FF0000"/>
        </w:rPr>
      </w:pPr>
      <w:bookmarkStart w:id="2" w:name="_Toc229187463"/>
      <w:bookmarkEnd w:id="0"/>
    </w:p>
    <w:p w:rsidR="001C5860" w:rsidRPr="00672AAE" w:rsidRDefault="001C5860" w:rsidP="00672AAE">
      <w:pPr>
        <w:spacing w:line="240" w:lineRule="exact"/>
        <w:jc w:val="left"/>
      </w:pPr>
      <w:r w:rsidRPr="001C5860">
        <w:rPr>
          <w:color w:val="FF0000"/>
        </w:rPr>
        <w:t>[NOTE: Each permit writer shall review and adjust the requirements below according to the specific facility circumstances.</w:t>
      </w:r>
      <w:r w:rsidR="00672AAE">
        <w:rPr>
          <w:color w:val="FF0000"/>
        </w:rPr>
        <w:t xml:space="preserve">  Frequently for VOC emissions, hourly limits may not be appropriate.  If this is the case, permit writers should indicate this in the emission limit table and clarify with a footnote such as </w:t>
      </w:r>
      <w:proofErr w:type="gramStart"/>
      <w:r w:rsidR="00672AAE">
        <w:rPr>
          <w:color w:val="FF0000"/>
        </w:rPr>
        <w:t xml:space="preserve">“  </w:t>
      </w:r>
      <w:r w:rsidR="00672AAE" w:rsidRPr="00672AAE">
        <w:rPr>
          <w:color w:val="FF0000"/>
        </w:rPr>
        <w:t>*</w:t>
      </w:r>
      <w:proofErr w:type="gramEnd"/>
      <w:r w:rsidR="00672AAE" w:rsidRPr="00672AAE">
        <w:rPr>
          <w:color w:val="FF0000"/>
        </w:rPr>
        <w:t xml:space="preserve"> indicates hourly emission limits are not appropriate for this operating situation.”</w:t>
      </w:r>
      <w:r w:rsidR="00407F7E">
        <w:rPr>
          <w:color w:val="FF0000"/>
        </w:rPr>
        <w:t xml:space="preserve"> Unless there are extenuating circumstances monitoring shall not be created for units that do not have emission limits.</w:t>
      </w:r>
      <w:r w:rsidRPr="001C5860">
        <w:rPr>
          <w:color w:val="FF0000"/>
        </w:rPr>
        <w:t>]</w:t>
      </w:r>
    </w:p>
    <w:p w:rsidR="00BC5938" w:rsidRDefault="00BC5938" w:rsidP="00256763">
      <w:pPr>
        <w:pStyle w:val="Heading2"/>
        <w:numPr>
          <w:ilvl w:val="0"/>
          <w:numId w:val="0"/>
        </w:numPr>
      </w:pPr>
      <w:r w:rsidRPr="00E86060">
        <w:t>Tank</w:t>
      </w:r>
      <w:bookmarkEnd w:id="2"/>
      <w:r w:rsidR="002325E5">
        <w:t>s</w:t>
      </w:r>
    </w:p>
    <w:p w:rsidR="00BC5938" w:rsidRPr="00575CE2" w:rsidRDefault="00BC5938" w:rsidP="00DA1B84">
      <w:pPr>
        <w:pStyle w:val="AQBLvl-1Condition"/>
        <w:numPr>
          <w:ilvl w:val="0"/>
          <w:numId w:val="2"/>
        </w:numPr>
        <w:spacing w:before="240"/>
        <w:jc w:val="left"/>
      </w:pPr>
      <w:bookmarkStart w:id="3" w:name="_Toc229187464"/>
      <w:r>
        <w:t xml:space="preserve">Tank Throughput and Separator Pressure (Unit(s) </w:t>
      </w:r>
      <w:r w:rsidRPr="004A4BB9">
        <w:rPr>
          <w:bCs/>
          <w:color w:val="FF0000"/>
        </w:rPr>
        <w:t>X, Y, and Z</w:t>
      </w:r>
      <w:r>
        <w:rPr>
          <w:bCs/>
          <w:color w:val="FF0000"/>
        </w:rPr>
        <w:t xml:space="preserve">) </w:t>
      </w:r>
      <w:r w:rsidRPr="00512861">
        <w:rPr>
          <w:color w:val="FF0000"/>
        </w:rPr>
        <w:t>[with flash emissions]</w:t>
      </w:r>
    </w:p>
    <w:tbl>
      <w:tblPr>
        <w:tblStyle w:val="TableGrid"/>
        <w:tblW w:w="9360" w:type="dxa"/>
        <w:jc w:val="center"/>
        <w:tblLook w:val="01E0" w:firstRow="1" w:lastRow="1" w:firstColumn="1" w:lastColumn="1" w:noHBand="0" w:noVBand="0"/>
      </w:tblPr>
      <w:tblGrid>
        <w:gridCol w:w="9360"/>
      </w:tblGrid>
      <w:tr w:rsidR="00BC5938" w:rsidTr="005C25A3">
        <w:trPr>
          <w:jc w:val="center"/>
        </w:trPr>
        <w:tc>
          <w:tcPr>
            <w:tcW w:w="9360" w:type="dxa"/>
          </w:tcPr>
          <w:p w:rsidR="00057DB7" w:rsidRDefault="00BC5938" w:rsidP="00B07879">
            <w:r w:rsidRPr="00004860">
              <w:rPr>
                <w:b/>
              </w:rPr>
              <w:t>Requirement:</w:t>
            </w:r>
            <w:r w:rsidRPr="00C60248">
              <w:t xml:space="preserve"> </w:t>
            </w:r>
            <w:r w:rsidR="00020837">
              <w:t>To demonstrate compliance with the allowable limit</w:t>
            </w:r>
            <w:r w:rsidR="00057DB7">
              <w:t>s</w:t>
            </w:r>
            <w:r w:rsidR="00CE3778">
              <w:t xml:space="preserve"> in Table 106.A</w:t>
            </w:r>
            <w:r w:rsidR="00020837">
              <w:t xml:space="preserve">, </w:t>
            </w:r>
            <w:r w:rsidR="00EE20D6">
              <w:t>the</w:t>
            </w:r>
            <w:r w:rsidR="0006480C">
              <w:t xml:space="preserve"> monthly rolling</w:t>
            </w:r>
            <w:r w:rsidR="00EE20D6">
              <w:t xml:space="preserve"> 12-month </w:t>
            </w:r>
            <w:r w:rsidR="00020837">
              <w:t>t</w:t>
            </w:r>
            <w:r>
              <w:t>otal condensate throughput to the unit</w:t>
            </w:r>
            <w:r w:rsidRPr="009F5408">
              <w:rPr>
                <w:color w:val="FF0000"/>
              </w:rPr>
              <w:t xml:space="preserve">(s) </w:t>
            </w:r>
            <w:r w:rsidRPr="00DF64C8">
              <w:t xml:space="preserve">shall not exceed </w:t>
            </w:r>
            <w:r w:rsidRPr="009F5408">
              <w:rPr>
                <w:color w:val="FF0000"/>
              </w:rPr>
              <w:t>XX</w:t>
            </w:r>
            <w:r>
              <w:t xml:space="preserve"> gallons per year (</w:t>
            </w:r>
            <w:r w:rsidRPr="009F5408">
              <w:rPr>
                <w:color w:val="FF0000"/>
              </w:rPr>
              <w:t>XX</w:t>
            </w:r>
            <w:r w:rsidRPr="0040382D">
              <w:rPr>
                <w:color w:val="0000FF"/>
              </w:rPr>
              <w:t xml:space="preserve"> </w:t>
            </w:r>
            <w:r>
              <w:t xml:space="preserve">barrels/year) and the </w:t>
            </w:r>
            <w:r w:rsidR="00B07879">
              <w:t xml:space="preserve">monthly rolling </w:t>
            </w:r>
            <w:r w:rsidR="00C35C64">
              <w:t>12</w:t>
            </w:r>
            <w:r w:rsidR="00EE20D6">
              <w:t>-</w:t>
            </w:r>
            <w:r w:rsidR="00C35C64">
              <w:t xml:space="preserve">month average </w:t>
            </w:r>
            <w:r>
              <w:t>s</w:t>
            </w:r>
            <w:r w:rsidRPr="00DF64C8">
              <w:t xml:space="preserve">eparator pressure shall not exceed </w:t>
            </w:r>
            <w:r w:rsidRPr="00057DB7">
              <w:rPr>
                <w:color w:val="FF00FF"/>
              </w:rPr>
              <w:t>XX</w:t>
            </w:r>
            <w:r>
              <w:t xml:space="preserve"> psia. </w:t>
            </w:r>
          </w:p>
        </w:tc>
      </w:tr>
      <w:tr w:rsidR="00BC5938" w:rsidTr="005C25A3">
        <w:trPr>
          <w:jc w:val="center"/>
        </w:trPr>
        <w:tc>
          <w:tcPr>
            <w:tcW w:w="9360" w:type="dxa"/>
          </w:tcPr>
          <w:p w:rsidR="00BC5938" w:rsidRPr="0024448C" w:rsidRDefault="00BC5938" w:rsidP="005C25A3">
            <w:pPr>
              <w:rPr>
                <w:b/>
              </w:rPr>
            </w:pPr>
            <w:r w:rsidRPr="00642E19">
              <w:rPr>
                <w:b/>
              </w:rPr>
              <w:t xml:space="preserve">Monitoring: </w:t>
            </w:r>
            <w:r>
              <w:t>The permittee shall monitor the monthly total throughput and the upstream separator pressure once per month.</w:t>
            </w:r>
          </w:p>
        </w:tc>
      </w:tr>
      <w:tr w:rsidR="00BC5938" w:rsidTr="005C25A3">
        <w:trPr>
          <w:jc w:val="center"/>
        </w:trPr>
        <w:tc>
          <w:tcPr>
            <w:tcW w:w="9360" w:type="dxa"/>
          </w:tcPr>
          <w:p w:rsidR="00EE20D6" w:rsidRDefault="00BC5938" w:rsidP="005C25A3">
            <w:r w:rsidRPr="00642E19">
              <w:rPr>
                <w:b/>
              </w:rPr>
              <w:t xml:space="preserve">Recordkeeping: </w:t>
            </w:r>
            <w:r>
              <w:t>The permittee shall record</w:t>
            </w:r>
            <w:r w:rsidR="00EE20D6">
              <w:t>:</w:t>
            </w:r>
            <w:r>
              <w:t xml:space="preserve"> </w:t>
            </w:r>
          </w:p>
          <w:p w:rsidR="00EE20D6" w:rsidRDefault="00020837" w:rsidP="005C25A3">
            <w:r>
              <w:t xml:space="preserve">1) </w:t>
            </w:r>
            <w:r w:rsidR="00057DB7">
              <w:t>t</w:t>
            </w:r>
            <w:r w:rsidR="00BC5938">
              <w:t>he monthly total throughput of liquids and</w:t>
            </w:r>
            <w:r w:rsidR="00EE20D6">
              <w:t>,</w:t>
            </w:r>
            <w:r w:rsidR="00BC5938">
              <w:t xml:space="preserve"> </w:t>
            </w:r>
          </w:p>
          <w:p w:rsidR="00EE20D6" w:rsidRDefault="00020837" w:rsidP="005C25A3">
            <w:r>
              <w:t xml:space="preserve">2) </w:t>
            </w:r>
            <w:r w:rsidR="00057DB7">
              <w:t>t</w:t>
            </w:r>
            <w:r w:rsidR="00EE20D6">
              <w:t>he</w:t>
            </w:r>
            <w:r w:rsidR="00BC5938">
              <w:t xml:space="preserve"> monthly separator </w:t>
            </w:r>
            <w:proofErr w:type="gramStart"/>
            <w:r w:rsidR="00BC5938">
              <w:t>pressure</w:t>
            </w:r>
            <w:proofErr w:type="gramEnd"/>
            <w:r w:rsidR="002325E5">
              <w:t>.</w:t>
            </w:r>
            <w:r w:rsidR="00BC5938">
              <w:t xml:space="preserve"> </w:t>
            </w:r>
          </w:p>
          <w:p w:rsidR="00EE20D6" w:rsidRDefault="00EE20D6" w:rsidP="005C25A3"/>
          <w:p w:rsidR="00EE20D6" w:rsidRDefault="00E454B8" w:rsidP="005C25A3">
            <w:r>
              <w:t>E</w:t>
            </w:r>
            <w:r w:rsidR="00BC5938">
              <w:t xml:space="preserve">ach month the permittee shall </w:t>
            </w:r>
            <w:r>
              <w:t xml:space="preserve">use these values to </w:t>
            </w:r>
            <w:r w:rsidR="00BC5938">
              <w:t>calculate and record</w:t>
            </w:r>
            <w:r w:rsidR="00EE20D6">
              <w:t>:</w:t>
            </w:r>
            <w:r w:rsidR="00020837">
              <w:t xml:space="preserve"> </w:t>
            </w:r>
          </w:p>
          <w:p w:rsidR="00EE20D6" w:rsidRDefault="00EE20D6" w:rsidP="005C25A3"/>
          <w:p w:rsidR="00EE20D6" w:rsidRDefault="00EE20D6" w:rsidP="00EE20D6">
            <w:r>
              <w:t>3</w:t>
            </w:r>
            <w:r w:rsidR="00020837">
              <w:t xml:space="preserve">) </w:t>
            </w:r>
            <w:r w:rsidR="00057DB7">
              <w:t xml:space="preserve">during the first 12 months of monitoring, the cumulative total </w:t>
            </w:r>
            <w:r w:rsidR="00267BE7">
              <w:t xml:space="preserve">liquid </w:t>
            </w:r>
            <w:r w:rsidR="00057DB7">
              <w:t>throughput and after the first 12 months of monitoring</w:t>
            </w:r>
            <w:r w:rsidR="00267BE7">
              <w:t>,</w:t>
            </w:r>
            <w:r w:rsidR="00057DB7">
              <w:t xml:space="preserve"> t</w:t>
            </w:r>
            <w:r>
              <w:t>he</w:t>
            </w:r>
            <w:r w:rsidR="00BC5938">
              <w:t xml:space="preserve"> monthly rolling 12-month total</w:t>
            </w:r>
            <w:r w:rsidR="005C25A3">
              <w:t xml:space="preserve"> </w:t>
            </w:r>
            <w:r w:rsidR="00267BE7">
              <w:t xml:space="preserve">liquid </w:t>
            </w:r>
            <w:r w:rsidR="005C25A3">
              <w:t>throughput</w:t>
            </w:r>
            <w:r w:rsidR="00D93A3F">
              <w:t xml:space="preserve"> and</w:t>
            </w:r>
            <w:r>
              <w:t>,</w:t>
            </w:r>
            <w:r w:rsidR="00D93A3F">
              <w:t xml:space="preserve"> </w:t>
            </w:r>
          </w:p>
          <w:p w:rsidR="00EE20D6" w:rsidRDefault="00EE20D6" w:rsidP="00EE20D6">
            <w:r>
              <w:t>4</w:t>
            </w:r>
            <w:r w:rsidR="00020837">
              <w:t xml:space="preserve">) </w:t>
            </w:r>
            <w:r w:rsidR="00057DB7">
              <w:t>during the first 12 months of monitoring, the cumulative average separator pressure, and after the first 12 months of monitoring, t</w:t>
            </w:r>
            <w:r>
              <w:t xml:space="preserve">he </w:t>
            </w:r>
            <w:r w:rsidR="00BC5938">
              <w:t>monthly rolling 12-month average separator pressure</w:t>
            </w:r>
            <w:r w:rsidR="00D93A3F">
              <w:t xml:space="preserve">. </w:t>
            </w:r>
          </w:p>
          <w:p w:rsidR="00EE20D6" w:rsidRDefault="00EE20D6" w:rsidP="00EE20D6"/>
          <w:p w:rsidR="00033950" w:rsidRDefault="00F92528" w:rsidP="00EE20D6">
            <w:r>
              <w:t>T</w:t>
            </w:r>
            <w:r w:rsidR="00BC3508" w:rsidRPr="00562135">
              <w:t xml:space="preserve">ank breathing and working </w:t>
            </w:r>
            <w:r>
              <w:t>emissions</w:t>
            </w:r>
            <w:r w:rsidR="00BC3508" w:rsidRPr="00562135">
              <w:t xml:space="preserve"> </w:t>
            </w:r>
            <w:r>
              <w:t xml:space="preserve">were calculated </w:t>
            </w:r>
            <w:r w:rsidR="00BC3508" w:rsidRPr="00562135">
              <w:t xml:space="preserve">using the USEPA Tanks program Version </w:t>
            </w:r>
            <w:r w:rsidR="00EE20D6">
              <w:t>4.0.9.d [or more current]</w:t>
            </w:r>
            <w:r w:rsidR="00BC3508">
              <w:t xml:space="preserve"> and </w:t>
            </w:r>
            <w:r w:rsidR="00BC3508" w:rsidRPr="00562135">
              <w:t xml:space="preserve">tank flashing emissions using </w:t>
            </w:r>
            <w:r w:rsidR="00BC3508" w:rsidRPr="00BC5938">
              <w:rPr>
                <w:rStyle w:val="AQBDirections"/>
                <w:b w:val="0"/>
              </w:rPr>
              <w:t>[IDENTIFY THE METHOD</w:t>
            </w:r>
            <w:r w:rsidR="00EE20D6" w:rsidRPr="00EE20D6">
              <w:rPr>
                <w:rStyle w:val="AQBDirections"/>
                <w:b w:val="0"/>
              </w:rPr>
              <w:t>, i.e. HYSYS</w:t>
            </w:r>
            <w:r w:rsidR="00EE20D6" w:rsidRPr="00EE20D6">
              <w:rPr>
                <w:rStyle w:val="AQBDirections"/>
                <w:b w:val="0"/>
                <w:vertAlign w:val="superscript"/>
              </w:rPr>
              <w:t>®</w:t>
            </w:r>
            <w:r w:rsidR="00EE20D6" w:rsidRPr="00EE20D6">
              <w:rPr>
                <w:rStyle w:val="AQBDirections"/>
                <w:b w:val="0"/>
              </w:rPr>
              <w:t xml:space="preserve"> (version unknown), E&amp;P Tanks</w:t>
            </w:r>
            <w:r w:rsidR="00BC3508" w:rsidRPr="00BC5938">
              <w:rPr>
                <w:rStyle w:val="AQBDirections"/>
                <w:b w:val="0"/>
              </w:rPr>
              <w:t>]</w:t>
            </w:r>
            <w:r w:rsidR="00BC3508" w:rsidRPr="005A4D3C">
              <w:rPr>
                <w:rStyle w:val="AQBDirections"/>
                <w:b w:val="0"/>
              </w:rPr>
              <w:t>.</w:t>
            </w:r>
            <w:r w:rsidR="00BC3508">
              <w:t xml:space="preserve"> Emission rates computed using the same parameters, but with a different Department approved algorithm that exceed these values will not be deemed non-compliance with this permit.</w:t>
            </w:r>
            <w:r w:rsidR="002325E5">
              <w:t xml:space="preserve"> </w:t>
            </w:r>
          </w:p>
          <w:p w:rsidR="00033950" w:rsidRDefault="00033950" w:rsidP="00EE20D6"/>
          <w:p w:rsidR="00BC5938" w:rsidRPr="0024448C" w:rsidRDefault="002325E5" w:rsidP="00EE20D6">
            <w:r>
              <w:t xml:space="preserve">Records shall be maintained in accordance with Section B109. </w:t>
            </w:r>
          </w:p>
        </w:tc>
      </w:tr>
      <w:tr w:rsidR="00BC5938" w:rsidTr="005C25A3">
        <w:trPr>
          <w:jc w:val="center"/>
        </w:trPr>
        <w:tc>
          <w:tcPr>
            <w:tcW w:w="9360" w:type="dxa"/>
          </w:tcPr>
          <w:p w:rsidR="005C25A3" w:rsidRPr="00D93A3F" w:rsidRDefault="00BC5938" w:rsidP="005C25A3">
            <w:r w:rsidRPr="00642E19">
              <w:rPr>
                <w:b/>
              </w:rPr>
              <w:t xml:space="preserve">Reporting: </w:t>
            </w:r>
            <w:r w:rsidR="00D93A3F">
              <w:t xml:space="preserve">The permittee shall report in accordance with Section B110. </w:t>
            </w:r>
          </w:p>
        </w:tc>
      </w:tr>
    </w:tbl>
    <w:p w:rsidR="00BC5938" w:rsidRPr="00575CE2" w:rsidRDefault="00E402F6" w:rsidP="00DA1B84">
      <w:pPr>
        <w:pStyle w:val="AQBLvl-1Condition"/>
        <w:spacing w:before="240"/>
      </w:pPr>
      <w:r>
        <w:t xml:space="preserve">Tank Throughput (Unit(s) </w:t>
      </w:r>
      <w:r w:rsidRPr="004A4BB9">
        <w:rPr>
          <w:bCs/>
          <w:color w:val="FF0000"/>
        </w:rPr>
        <w:t>X, Y, and Z</w:t>
      </w:r>
      <w:r>
        <w:rPr>
          <w:bCs/>
          <w:color w:val="FF0000"/>
        </w:rPr>
        <w:t xml:space="preserve">)  </w:t>
      </w:r>
      <w:r w:rsidR="00BC5938" w:rsidRPr="00512861">
        <w:rPr>
          <w:color w:val="FF0000"/>
        </w:rPr>
        <w:t>[without flash emissions]</w:t>
      </w:r>
    </w:p>
    <w:tbl>
      <w:tblPr>
        <w:tblStyle w:val="TableGrid"/>
        <w:tblW w:w="9360" w:type="dxa"/>
        <w:jc w:val="center"/>
        <w:tblLook w:val="01E0" w:firstRow="1" w:lastRow="1" w:firstColumn="1" w:lastColumn="1" w:noHBand="0" w:noVBand="0"/>
      </w:tblPr>
      <w:tblGrid>
        <w:gridCol w:w="9360"/>
      </w:tblGrid>
      <w:tr w:rsidR="00BC5938" w:rsidTr="005C25A3">
        <w:trPr>
          <w:jc w:val="center"/>
        </w:trPr>
        <w:tc>
          <w:tcPr>
            <w:tcW w:w="9360" w:type="dxa"/>
          </w:tcPr>
          <w:p w:rsidR="00BC5938" w:rsidRDefault="00BC5938" w:rsidP="00B07879">
            <w:r w:rsidRPr="00004860">
              <w:rPr>
                <w:b/>
              </w:rPr>
              <w:t>Requirement:</w:t>
            </w:r>
            <w:r w:rsidRPr="00C60248">
              <w:t xml:space="preserve"> </w:t>
            </w:r>
            <w:r w:rsidR="00020837">
              <w:t>To demonstrate compliance with the allowable limit</w:t>
            </w:r>
            <w:r w:rsidR="00057DB7">
              <w:t>s</w:t>
            </w:r>
            <w:r w:rsidR="00CE3778">
              <w:t xml:space="preserve"> in Table 106.A</w:t>
            </w:r>
            <w:r w:rsidR="00020837">
              <w:t xml:space="preserve">, </w:t>
            </w:r>
            <w:r w:rsidR="00033950">
              <w:t xml:space="preserve">the </w:t>
            </w:r>
            <w:r w:rsidR="00B07879">
              <w:t xml:space="preserve">monthly rolling </w:t>
            </w:r>
            <w:r w:rsidR="00033950">
              <w:t xml:space="preserve">12-month </w:t>
            </w:r>
            <w:r w:rsidR="00020837">
              <w:t>t</w:t>
            </w:r>
            <w:r>
              <w:t>otal condensate throughput to the unit(s)</w:t>
            </w:r>
            <w:r w:rsidRPr="00DF64C8">
              <w:t xml:space="preserve"> shall not exceed </w:t>
            </w:r>
            <w:r w:rsidRPr="00057DB7">
              <w:rPr>
                <w:color w:val="FF00FF"/>
              </w:rPr>
              <w:t>XX</w:t>
            </w:r>
            <w:r>
              <w:t xml:space="preserve"> gallons per year (</w:t>
            </w:r>
            <w:r>
              <w:rPr>
                <w:color w:val="0000FF"/>
              </w:rPr>
              <w:t>XX</w:t>
            </w:r>
            <w:r w:rsidRPr="0040382D">
              <w:rPr>
                <w:color w:val="0000FF"/>
              </w:rPr>
              <w:t xml:space="preserve"> </w:t>
            </w:r>
            <w:r>
              <w:t xml:space="preserve">barrels/year) </w:t>
            </w:r>
          </w:p>
        </w:tc>
      </w:tr>
      <w:tr w:rsidR="00BC5938" w:rsidTr="005C25A3">
        <w:trPr>
          <w:cantSplit/>
          <w:jc w:val="center"/>
        </w:trPr>
        <w:tc>
          <w:tcPr>
            <w:tcW w:w="9360" w:type="dxa"/>
          </w:tcPr>
          <w:p w:rsidR="00BC5938" w:rsidRPr="00D33C14" w:rsidRDefault="00BC5938" w:rsidP="005C25A3">
            <w:r w:rsidRPr="00642E19">
              <w:rPr>
                <w:b/>
              </w:rPr>
              <w:t xml:space="preserve">Monitoring: </w:t>
            </w:r>
            <w:r>
              <w:t>The permittee shall monitor the monthly total throughput once per month.</w:t>
            </w:r>
          </w:p>
        </w:tc>
      </w:tr>
      <w:tr w:rsidR="00BC5938" w:rsidTr="005C25A3">
        <w:trPr>
          <w:jc w:val="center"/>
        </w:trPr>
        <w:tc>
          <w:tcPr>
            <w:tcW w:w="9360" w:type="dxa"/>
          </w:tcPr>
          <w:p w:rsidR="00033950" w:rsidRDefault="00BC5938" w:rsidP="005C25A3">
            <w:r w:rsidRPr="00642E19">
              <w:rPr>
                <w:b/>
              </w:rPr>
              <w:t xml:space="preserve">Recordkeeping: </w:t>
            </w:r>
            <w:r>
              <w:t>The permittee shall record the monthly total</w:t>
            </w:r>
            <w:r w:rsidR="002325E5">
              <w:t xml:space="preserve"> throughput of liquids</w:t>
            </w:r>
            <w:r w:rsidR="00057DB7">
              <w:t xml:space="preserve">. Each </w:t>
            </w:r>
            <w:r w:rsidR="00057DB7">
              <w:lastRenderedPageBreak/>
              <w:t>month, during the first 12 months of monitoring, the permittee shall record the cumulative total</w:t>
            </w:r>
            <w:r w:rsidR="00267BE7">
              <w:t xml:space="preserve"> liquid</w:t>
            </w:r>
            <w:r w:rsidR="00057DB7">
              <w:t xml:space="preserve"> throughput and after the first 12 months of monitoring, the permittee shall </w:t>
            </w:r>
            <w:r>
              <w:t>calculate and record a</w:t>
            </w:r>
            <w:r w:rsidR="00020837">
              <w:t xml:space="preserve"> </w:t>
            </w:r>
            <w:r>
              <w:t>monthly rolling 12-month total</w:t>
            </w:r>
            <w:r w:rsidR="00020837">
              <w:t xml:space="preserve"> </w:t>
            </w:r>
            <w:r w:rsidR="00267BE7">
              <w:t xml:space="preserve">liquid </w:t>
            </w:r>
            <w:r w:rsidR="00020837">
              <w:t>throughput</w:t>
            </w:r>
            <w:r w:rsidR="00D93A3F">
              <w:t xml:space="preserve">. </w:t>
            </w:r>
          </w:p>
          <w:p w:rsidR="00033950" w:rsidRDefault="00033950" w:rsidP="005C25A3"/>
          <w:p w:rsidR="00033950" w:rsidRDefault="000D1963" w:rsidP="005C25A3">
            <w:r>
              <w:t>T</w:t>
            </w:r>
            <w:r w:rsidRPr="00562135">
              <w:t xml:space="preserve">ank breathing and working </w:t>
            </w:r>
            <w:r>
              <w:t>emissions</w:t>
            </w:r>
            <w:r w:rsidRPr="00562135">
              <w:t xml:space="preserve"> </w:t>
            </w:r>
            <w:r>
              <w:t xml:space="preserve">were calculated </w:t>
            </w:r>
            <w:r w:rsidR="00BC3508" w:rsidRPr="00562135">
              <w:t xml:space="preserve">using the USEPA Tanks program Version </w:t>
            </w:r>
            <w:r w:rsidR="00033950">
              <w:t xml:space="preserve">4.0.9.d </w:t>
            </w:r>
            <w:r w:rsidR="00033950" w:rsidRPr="00267BE7">
              <w:rPr>
                <w:color w:val="FF00FF"/>
              </w:rPr>
              <w:t>[or more current]</w:t>
            </w:r>
            <w:r w:rsidR="00BC3508" w:rsidRPr="00267BE7">
              <w:rPr>
                <w:color w:val="FF00FF"/>
              </w:rPr>
              <w:t>.</w:t>
            </w:r>
            <w:r w:rsidR="00BC3508">
              <w:t xml:space="preserve"> Emission rates computed using the same parameters, but with a different Department approved algorithm that exceed these values will not be deemed non-compliance with this permit.</w:t>
            </w:r>
            <w:r w:rsidR="002325E5">
              <w:t xml:space="preserve"> </w:t>
            </w:r>
          </w:p>
          <w:p w:rsidR="00033950" w:rsidRDefault="00033950" w:rsidP="005C25A3"/>
          <w:p w:rsidR="00BC5938" w:rsidRPr="00A14C5E" w:rsidRDefault="002325E5" w:rsidP="005C25A3">
            <w:r>
              <w:t>Records shall also be maintained in accordance with Section B109.</w:t>
            </w:r>
          </w:p>
        </w:tc>
      </w:tr>
      <w:tr w:rsidR="00BC5938" w:rsidTr="005C25A3">
        <w:trPr>
          <w:jc w:val="center"/>
        </w:trPr>
        <w:tc>
          <w:tcPr>
            <w:tcW w:w="9360" w:type="dxa"/>
          </w:tcPr>
          <w:p w:rsidR="00BC5938" w:rsidRPr="00A14C5E" w:rsidRDefault="00BC5938" w:rsidP="005C25A3">
            <w:r w:rsidRPr="00642E19">
              <w:rPr>
                <w:b/>
              </w:rPr>
              <w:lastRenderedPageBreak/>
              <w:t xml:space="preserve">Reporting: </w:t>
            </w:r>
            <w:r w:rsidR="00410A4C">
              <w:t>The permittee shall report in accordance with Section B110.</w:t>
            </w:r>
          </w:p>
        </w:tc>
      </w:tr>
    </w:tbl>
    <w:p w:rsidR="00641598" w:rsidRPr="00E455E8" w:rsidRDefault="00641598" w:rsidP="00DA1B84">
      <w:pPr>
        <w:pStyle w:val="AQBCLvl-1"/>
        <w:numPr>
          <w:ilvl w:val="0"/>
          <w:numId w:val="1"/>
        </w:numPr>
        <w:tabs>
          <w:tab w:val="clear" w:pos="936"/>
          <w:tab w:val="num" w:pos="1116"/>
        </w:tabs>
        <w:spacing w:before="240"/>
        <w:ind w:left="1116"/>
      </w:pPr>
      <w:r w:rsidRPr="00E455E8">
        <w:t xml:space="preserve">Truck Loading </w:t>
      </w:r>
      <w:r w:rsidR="00F00754">
        <w:t xml:space="preserve">- Condensate Loadout (Unit(s) </w:t>
      </w:r>
      <w:r w:rsidR="00F00754" w:rsidRPr="004A4BB9">
        <w:rPr>
          <w:bCs/>
          <w:color w:val="FF0000"/>
        </w:rPr>
        <w:t>X, Y, and Z</w:t>
      </w:r>
      <w:r w:rsidR="00F00754">
        <w:rPr>
          <w:bCs/>
          <w:color w:val="FF0000"/>
        </w:rPr>
        <w:t xml:space="preserve">) </w:t>
      </w:r>
    </w:p>
    <w:tbl>
      <w:tblPr>
        <w:tblStyle w:val="TableGrid"/>
        <w:tblW w:w="9360" w:type="dxa"/>
        <w:jc w:val="center"/>
        <w:tblLook w:val="01E0" w:firstRow="1" w:lastRow="1" w:firstColumn="1" w:lastColumn="1" w:noHBand="0" w:noVBand="0"/>
      </w:tblPr>
      <w:tblGrid>
        <w:gridCol w:w="9360"/>
      </w:tblGrid>
      <w:tr w:rsidR="00641598" w:rsidRPr="00E455E8" w:rsidTr="00B36E8A">
        <w:trPr>
          <w:jc w:val="center"/>
        </w:trPr>
        <w:tc>
          <w:tcPr>
            <w:tcW w:w="9360" w:type="dxa"/>
          </w:tcPr>
          <w:p w:rsidR="00033950" w:rsidRDefault="00641598" w:rsidP="00033950">
            <w:r w:rsidRPr="00E455E8">
              <w:rPr>
                <w:b/>
              </w:rPr>
              <w:t>Requirement:</w:t>
            </w:r>
            <w:r w:rsidRPr="00E455E8">
              <w:t xml:space="preserve"> </w:t>
            </w:r>
            <w:r>
              <w:t xml:space="preserve">To demonstrate compliance with the allowable </w:t>
            </w:r>
            <w:r w:rsidR="00F00754">
              <w:t>limit</w:t>
            </w:r>
            <w:r w:rsidR="00057DB7">
              <w:t>s</w:t>
            </w:r>
            <w:r w:rsidR="00CE3778">
              <w:t xml:space="preserve"> in Table 106.A</w:t>
            </w:r>
            <w:r>
              <w:t xml:space="preserve">, </w:t>
            </w:r>
            <w:r w:rsidRPr="00E455E8">
              <w:t xml:space="preserve">the total annual condensate loadout volume shall not exceed </w:t>
            </w:r>
            <w:r w:rsidR="00F00754" w:rsidRPr="00057DB7">
              <w:rPr>
                <w:color w:val="FF00FF"/>
              </w:rPr>
              <w:t>XX</w:t>
            </w:r>
            <w:r w:rsidRPr="00E455E8">
              <w:t xml:space="preserve"> gallons per year.</w:t>
            </w:r>
            <w:r>
              <w:t xml:space="preserve"> </w:t>
            </w:r>
          </w:p>
          <w:p w:rsidR="00641598" w:rsidRPr="00E455E8" w:rsidRDefault="00641598" w:rsidP="00033950">
            <w:r w:rsidRPr="00F00754">
              <w:rPr>
                <w:color w:val="FF0000"/>
              </w:rPr>
              <w:t xml:space="preserve">(NSR Permit </w:t>
            </w:r>
            <w:r w:rsidR="00F00754" w:rsidRPr="00F00754">
              <w:rPr>
                <w:color w:val="FF0000"/>
              </w:rPr>
              <w:t>Condition)</w:t>
            </w:r>
            <w:r w:rsidRPr="00E455E8">
              <w:t xml:space="preserve"> </w:t>
            </w:r>
          </w:p>
        </w:tc>
      </w:tr>
      <w:tr w:rsidR="00641598" w:rsidRPr="00E455E8" w:rsidTr="00B36E8A">
        <w:trPr>
          <w:jc w:val="center"/>
        </w:trPr>
        <w:tc>
          <w:tcPr>
            <w:tcW w:w="9360" w:type="dxa"/>
          </w:tcPr>
          <w:p w:rsidR="00641598" w:rsidRPr="00E455E8" w:rsidRDefault="00641598" w:rsidP="00B36E8A">
            <w:r w:rsidRPr="00E455E8">
              <w:rPr>
                <w:b/>
              </w:rPr>
              <w:t>Monitoring:</w:t>
            </w:r>
            <w:r w:rsidRPr="00E455E8">
              <w:t xml:space="preserve"> </w:t>
            </w:r>
            <w:r w:rsidRPr="00E455E8">
              <w:rPr>
                <w:snapToGrid/>
              </w:rPr>
              <w:t xml:space="preserve">The </w:t>
            </w:r>
            <w:r>
              <w:rPr>
                <w:snapToGrid/>
              </w:rPr>
              <w:t xml:space="preserve">permittee shall monitor the </w:t>
            </w:r>
            <w:r w:rsidRPr="00E455E8">
              <w:rPr>
                <w:snapToGrid/>
              </w:rPr>
              <w:t>condensate truck loadout volume on a monthly basis.</w:t>
            </w:r>
            <w:r>
              <w:rPr>
                <w:snapToGrid/>
              </w:rPr>
              <w:t xml:space="preserve"> </w:t>
            </w:r>
          </w:p>
        </w:tc>
      </w:tr>
      <w:tr w:rsidR="00641598" w:rsidRPr="00E455E8" w:rsidTr="00B36E8A">
        <w:trPr>
          <w:jc w:val="center"/>
        </w:trPr>
        <w:tc>
          <w:tcPr>
            <w:tcW w:w="9360" w:type="dxa"/>
          </w:tcPr>
          <w:p w:rsidR="00033950" w:rsidRDefault="00641598" w:rsidP="00B36E8A">
            <w:pPr>
              <w:pStyle w:val="AQBTCondition"/>
            </w:pPr>
            <w:r w:rsidRPr="00E455E8">
              <w:rPr>
                <w:b/>
              </w:rPr>
              <w:t>Recordkeeping:</w:t>
            </w:r>
            <w:r w:rsidRPr="00E455E8">
              <w:t xml:space="preserve"> The </w:t>
            </w:r>
            <w:r>
              <w:t>p</w:t>
            </w:r>
            <w:r w:rsidRPr="00E455E8">
              <w:t>ermittee shall record the monthly condensate truck loadout volume</w:t>
            </w:r>
            <w:r w:rsidR="00057DB7">
              <w:t>.  Each month during the first 12 months of monitoring the permittee shall record the cumulative condensate loadout</w:t>
            </w:r>
            <w:r w:rsidR="00267BE7">
              <w:t xml:space="preserve"> volume</w:t>
            </w:r>
            <w:r w:rsidR="00057DB7">
              <w:t xml:space="preserve"> and after the first 12 months </w:t>
            </w:r>
            <w:r w:rsidR="00267BE7">
              <w:t xml:space="preserve">of monitoring, the permittee shall </w:t>
            </w:r>
            <w:r w:rsidR="00F00754">
              <w:t xml:space="preserve">calculate and record </w:t>
            </w:r>
            <w:r w:rsidRPr="00E455E8">
              <w:t xml:space="preserve">a </w:t>
            </w:r>
            <w:r>
              <w:t xml:space="preserve">monthly rolling </w:t>
            </w:r>
            <w:r w:rsidRPr="00E455E8">
              <w:t>12-month</w:t>
            </w:r>
            <w:r>
              <w:t xml:space="preserve"> </w:t>
            </w:r>
            <w:r w:rsidRPr="00E455E8">
              <w:t>total loadout volume.</w:t>
            </w:r>
            <w:r>
              <w:t xml:space="preserve"> </w:t>
            </w:r>
          </w:p>
          <w:p w:rsidR="00033950" w:rsidRDefault="00033950" w:rsidP="00B36E8A">
            <w:pPr>
              <w:pStyle w:val="AQBTCondition"/>
            </w:pPr>
          </w:p>
          <w:p w:rsidR="00641598" w:rsidRPr="00E455E8" w:rsidRDefault="002325E5" w:rsidP="00B36E8A">
            <w:pPr>
              <w:pStyle w:val="AQBTCondition"/>
            </w:pPr>
            <w:r>
              <w:t>Records shall also be maintained in accordance with Section B109.</w:t>
            </w:r>
          </w:p>
        </w:tc>
      </w:tr>
      <w:tr w:rsidR="00641598" w:rsidRPr="00E455E8" w:rsidTr="00B36E8A">
        <w:trPr>
          <w:jc w:val="center"/>
        </w:trPr>
        <w:tc>
          <w:tcPr>
            <w:tcW w:w="9360" w:type="dxa"/>
          </w:tcPr>
          <w:p w:rsidR="00641598" w:rsidRPr="00E455E8" w:rsidRDefault="00641598" w:rsidP="00B36E8A">
            <w:pPr>
              <w:pStyle w:val="AQBTCondition"/>
            </w:pPr>
            <w:r w:rsidRPr="00E455E8">
              <w:rPr>
                <w:b/>
              </w:rPr>
              <w:t>Reporting:</w:t>
            </w:r>
            <w:r w:rsidRPr="00E455E8">
              <w:t xml:space="preserve"> </w:t>
            </w:r>
            <w:r w:rsidR="00410A4C">
              <w:t xml:space="preserve">The permittee shall report in accordance with Section B110. </w:t>
            </w:r>
            <w:r w:rsidR="00D93A3F">
              <w:t xml:space="preserve"> </w:t>
            </w:r>
          </w:p>
        </w:tc>
      </w:tr>
    </w:tbl>
    <w:p w:rsidR="00832D8C" w:rsidRPr="00E455E8" w:rsidRDefault="00832D8C" w:rsidP="00DA1B84">
      <w:pPr>
        <w:pStyle w:val="AQBCLvl-1"/>
        <w:numPr>
          <w:ilvl w:val="0"/>
          <w:numId w:val="1"/>
        </w:numPr>
        <w:tabs>
          <w:tab w:val="clear" w:pos="936"/>
          <w:tab w:val="num" w:pos="1116"/>
        </w:tabs>
        <w:spacing w:before="240"/>
        <w:ind w:left="1116"/>
      </w:pPr>
      <w:r>
        <w:t xml:space="preserve">Mist Eliminator (Unit(s) </w:t>
      </w:r>
      <w:r w:rsidRPr="004A4BB9">
        <w:rPr>
          <w:bCs/>
          <w:color w:val="FF0000"/>
        </w:rPr>
        <w:t>X, Y, and Z</w:t>
      </w:r>
      <w:r>
        <w:rPr>
          <w:bCs/>
          <w:color w:val="FF0000"/>
        </w:rPr>
        <w:t xml:space="preserve">) </w:t>
      </w:r>
    </w:p>
    <w:tbl>
      <w:tblPr>
        <w:tblStyle w:val="TableGrid"/>
        <w:tblW w:w="9360" w:type="dxa"/>
        <w:jc w:val="center"/>
        <w:tblLook w:val="01E0" w:firstRow="1" w:lastRow="1" w:firstColumn="1" w:lastColumn="1" w:noHBand="0" w:noVBand="0"/>
      </w:tblPr>
      <w:tblGrid>
        <w:gridCol w:w="9360"/>
      </w:tblGrid>
      <w:tr w:rsidR="00832D8C" w:rsidRPr="00E455E8" w:rsidTr="00BA450F">
        <w:trPr>
          <w:jc w:val="center"/>
        </w:trPr>
        <w:tc>
          <w:tcPr>
            <w:tcW w:w="9360" w:type="dxa"/>
          </w:tcPr>
          <w:p w:rsidR="00832D8C" w:rsidRPr="00E455E8" w:rsidRDefault="00832D8C" w:rsidP="00033950">
            <w:r w:rsidRPr="00E455E8">
              <w:rPr>
                <w:b/>
              </w:rPr>
              <w:t>Requirement:</w:t>
            </w:r>
            <w:r w:rsidRPr="00E455E8">
              <w:t xml:space="preserve"> </w:t>
            </w:r>
            <w:r>
              <w:t>To demonstrate compliance with the allowable limit</w:t>
            </w:r>
            <w:r w:rsidR="00267BE7">
              <w:t>s</w:t>
            </w:r>
            <w:r w:rsidR="00CE3778">
              <w:t xml:space="preserve"> in Table 106.A</w:t>
            </w:r>
            <w:r>
              <w:t xml:space="preserve">, </w:t>
            </w:r>
            <w:r w:rsidRPr="00E455E8">
              <w:t xml:space="preserve">the total annual condensate </w:t>
            </w:r>
            <w:r>
              <w:t xml:space="preserve">throughput </w:t>
            </w:r>
            <w:r w:rsidRPr="00E455E8">
              <w:t xml:space="preserve">shall not exceed </w:t>
            </w:r>
            <w:r w:rsidRPr="00267BE7">
              <w:rPr>
                <w:color w:val="FF00FF"/>
              </w:rPr>
              <w:t>XX</w:t>
            </w:r>
            <w:r w:rsidRPr="00E455E8">
              <w:t xml:space="preserve"> gallons per year.</w:t>
            </w:r>
            <w:r>
              <w:t xml:space="preserve"> </w:t>
            </w:r>
          </w:p>
        </w:tc>
      </w:tr>
      <w:tr w:rsidR="00832D8C" w:rsidRPr="00E455E8" w:rsidTr="00BA450F">
        <w:trPr>
          <w:jc w:val="center"/>
        </w:trPr>
        <w:tc>
          <w:tcPr>
            <w:tcW w:w="9360" w:type="dxa"/>
          </w:tcPr>
          <w:p w:rsidR="00832D8C" w:rsidRPr="00E455E8" w:rsidRDefault="00832D8C" w:rsidP="00832D8C">
            <w:pPr>
              <w:pStyle w:val="ConditionIndent"/>
              <w:numPr>
                <w:ilvl w:val="0"/>
                <w:numId w:val="0"/>
              </w:numPr>
              <w:spacing w:before="0"/>
            </w:pPr>
            <w:r w:rsidRPr="00E455E8">
              <w:rPr>
                <w:b/>
              </w:rPr>
              <w:t>Monitoring:</w:t>
            </w:r>
            <w:r w:rsidRPr="00E455E8">
              <w:t xml:space="preserve"> </w:t>
            </w:r>
            <w:r w:rsidRPr="00E455E8">
              <w:rPr>
                <w:snapToGrid/>
              </w:rPr>
              <w:t xml:space="preserve">The </w:t>
            </w:r>
            <w:r>
              <w:rPr>
                <w:snapToGrid/>
              </w:rPr>
              <w:t>permittee shall monitor the</w:t>
            </w:r>
            <w:r>
              <w:t xml:space="preserve"> monthly total throughput for the </w:t>
            </w:r>
            <w:r w:rsidRPr="00832D8C">
              <w:t>mist eliminator once per month.</w:t>
            </w:r>
            <w:r>
              <w:t xml:space="preserve"> </w:t>
            </w:r>
          </w:p>
        </w:tc>
      </w:tr>
      <w:tr w:rsidR="00832D8C" w:rsidRPr="00E455E8" w:rsidTr="00BA450F">
        <w:trPr>
          <w:jc w:val="center"/>
        </w:trPr>
        <w:tc>
          <w:tcPr>
            <w:tcW w:w="9360" w:type="dxa"/>
          </w:tcPr>
          <w:p w:rsidR="00033950" w:rsidRDefault="00832D8C" w:rsidP="008B73BE">
            <w:pPr>
              <w:pStyle w:val="AQBTCondition"/>
            </w:pPr>
            <w:r w:rsidRPr="00E455E8">
              <w:rPr>
                <w:b/>
              </w:rPr>
              <w:t>Recordkeeping:</w:t>
            </w:r>
            <w:r w:rsidRPr="00E455E8">
              <w:t xml:space="preserve"> </w:t>
            </w:r>
            <w:r>
              <w:t>The permittee shall record the monthly total throughput of liquids</w:t>
            </w:r>
            <w:r w:rsidR="00267BE7">
              <w:t xml:space="preserve">.  Each month during the first 12 months of monitoring the permittee shall record the cumulative total throughput of liquids and after the first 12 months of monitoring, the </w:t>
            </w:r>
            <w:proofErr w:type="spellStart"/>
            <w:r w:rsidR="00267BE7">
              <w:t>permtitee</w:t>
            </w:r>
            <w:proofErr w:type="spellEnd"/>
            <w:r w:rsidR="00267BE7">
              <w:t xml:space="preserve"> shall </w:t>
            </w:r>
            <w:r>
              <w:t>calculate and record a monthly rolling 12-month total throughput</w:t>
            </w:r>
            <w:r w:rsidR="00267BE7">
              <w:t xml:space="preserve"> of liquids</w:t>
            </w:r>
            <w:r>
              <w:t xml:space="preserve">. </w:t>
            </w:r>
          </w:p>
          <w:p w:rsidR="00033950" w:rsidRDefault="00033950" w:rsidP="008B73BE">
            <w:pPr>
              <w:pStyle w:val="AQBTCondition"/>
            </w:pPr>
          </w:p>
          <w:p w:rsidR="00033950" w:rsidRDefault="000D1963" w:rsidP="008B73BE">
            <w:pPr>
              <w:pStyle w:val="AQBTCondition"/>
            </w:pPr>
            <w:r>
              <w:t>T</w:t>
            </w:r>
            <w:r w:rsidRPr="00562135">
              <w:t xml:space="preserve">ank breathing and working </w:t>
            </w:r>
            <w:r>
              <w:t>emissions</w:t>
            </w:r>
            <w:r w:rsidRPr="00562135">
              <w:t xml:space="preserve"> </w:t>
            </w:r>
            <w:r>
              <w:t>were calculated u</w:t>
            </w:r>
            <w:r w:rsidRPr="00562135">
              <w:t xml:space="preserve">sing the USEPA Tanks program Version </w:t>
            </w:r>
            <w:r w:rsidR="00033950">
              <w:t xml:space="preserve">4.0.9.d </w:t>
            </w:r>
            <w:r w:rsidR="00033950" w:rsidRPr="00267BE7">
              <w:rPr>
                <w:color w:val="FF00FF"/>
              </w:rPr>
              <w:t>[or more current]</w:t>
            </w:r>
            <w:r>
              <w:t xml:space="preserve"> </w:t>
            </w:r>
            <w:r w:rsidR="00832D8C">
              <w:t xml:space="preserve">and flashing emissions </w:t>
            </w:r>
            <w:r>
              <w:t xml:space="preserve">using </w:t>
            </w:r>
            <w:r w:rsidR="00832D8C" w:rsidRPr="00832D8C">
              <w:rPr>
                <w:color w:val="FF0000"/>
              </w:rPr>
              <w:t>Vasquez Beggs</w:t>
            </w:r>
            <w:r w:rsidR="00832D8C">
              <w:t xml:space="preserve">. Emission rates computed using the same parameters, but with a different Department approved algorithm that exceed these values will not be deemed non-compliance with this permit. </w:t>
            </w:r>
          </w:p>
          <w:p w:rsidR="00033950" w:rsidRDefault="00033950" w:rsidP="008B73BE">
            <w:pPr>
              <w:pStyle w:val="AQBTCondition"/>
            </w:pPr>
          </w:p>
          <w:p w:rsidR="00832D8C" w:rsidRPr="00E455E8" w:rsidRDefault="00832D8C" w:rsidP="008B73BE">
            <w:pPr>
              <w:pStyle w:val="AQBTCondition"/>
            </w:pPr>
            <w:r>
              <w:t>Records shall also be maintained in accordance with Section B109.</w:t>
            </w:r>
          </w:p>
        </w:tc>
      </w:tr>
      <w:tr w:rsidR="00832D8C" w:rsidRPr="00E455E8" w:rsidTr="00BA450F">
        <w:trPr>
          <w:jc w:val="center"/>
        </w:trPr>
        <w:tc>
          <w:tcPr>
            <w:tcW w:w="9360" w:type="dxa"/>
          </w:tcPr>
          <w:p w:rsidR="00832D8C" w:rsidRPr="00E455E8" w:rsidRDefault="00832D8C" w:rsidP="00BA450F">
            <w:pPr>
              <w:pStyle w:val="AQBTCondition"/>
            </w:pPr>
            <w:r w:rsidRPr="00E455E8">
              <w:rPr>
                <w:b/>
              </w:rPr>
              <w:t>Reporting:</w:t>
            </w:r>
            <w:r w:rsidRPr="00E455E8">
              <w:t xml:space="preserve"> </w:t>
            </w:r>
            <w:r w:rsidR="00410A4C">
              <w:t>The permittee shall report in accordance with Section B110.</w:t>
            </w:r>
          </w:p>
        </w:tc>
      </w:tr>
    </w:tbl>
    <w:p w:rsidR="00BC5938" w:rsidRPr="00256763" w:rsidRDefault="00256763" w:rsidP="00DA1B84">
      <w:pPr>
        <w:pStyle w:val="AQBLvl-1Condition"/>
        <w:spacing w:before="240"/>
      </w:pPr>
      <w:r w:rsidRPr="00AC2455">
        <w:rPr>
          <w:szCs w:val="24"/>
        </w:rPr>
        <w:t>20.2.38</w:t>
      </w:r>
      <w:r>
        <w:t xml:space="preserve"> NMAC,</w:t>
      </w:r>
      <w:r w:rsidR="00BC5938">
        <w:t xml:space="preserve"> Hydrocarbon Storage Facilities </w:t>
      </w:r>
      <w:r>
        <w:t xml:space="preserve">(Unit(s) </w:t>
      </w:r>
      <w:r w:rsidRPr="004A4BB9">
        <w:rPr>
          <w:bCs/>
          <w:color w:val="FF0000"/>
        </w:rPr>
        <w:t>X, Y, and Z</w:t>
      </w:r>
      <w:r>
        <w:rPr>
          <w:bCs/>
          <w:color w:val="FF0000"/>
        </w:rPr>
        <w:t>)</w:t>
      </w:r>
    </w:p>
    <w:tbl>
      <w:tblPr>
        <w:tblStyle w:val="TableGrid"/>
        <w:tblW w:w="9360" w:type="dxa"/>
        <w:jc w:val="center"/>
        <w:tblLook w:val="01E0" w:firstRow="1" w:lastRow="1" w:firstColumn="1" w:lastColumn="1" w:noHBand="0" w:noVBand="0"/>
      </w:tblPr>
      <w:tblGrid>
        <w:gridCol w:w="9360"/>
      </w:tblGrid>
      <w:tr w:rsidR="00BC5938" w:rsidTr="005C25A3">
        <w:trPr>
          <w:jc w:val="center"/>
        </w:trPr>
        <w:tc>
          <w:tcPr>
            <w:tcW w:w="9360" w:type="dxa"/>
          </w:tcPr>
          <w:p w:rsidR="00BC5938" w:rsidRDefault="00BC5938" w:rsidP="005C25A3">
            <w:pPr>
              <w:rPr>
                <w:sz w:val="20"/>
              </w:rPr>
            </w:pPr>
            <w:r w:rsidRPr="00004860">
              <w:rPr>
                <w:b/>
              </w:rPr>
              <w:t>Requirement:</w:t>
            </w:r>
            <w:r w:rsidRPr="00C60248">
              <w:t xml:space="preserve"> </w:t>
            </w:r>
            <w:r>
              <w:t>The permittee shall comply with 20.2.38 [109, 110, 111, 112, or 113</w:t>
            </w:r>
            <w:r w:rsidR="00256763">
              <w:t>]</w:t>
            </w:r>
            <w:r>
              <w:t xml:space="preserve"> </w:t>
            </w:r>
            <w:r w:rsidR="00256763" w:rsidRPr="00A51481">
              <w:t>NMAC</w:t>
            </w:r>
            <w:r w:rsidR="00256763">
              <w:t xml:space="preserve">. </w:t>
            </w:r>
            <w:r>
              <w:lastRenderedPageBreak/>
              <w:t>See regulation</w:t>
            </w:r>
            <w:r>
              <w:rPr>
                <w:sz w:val="20"/>
              </w:rPr>
              <w:t xml:space="preserve"> </w:t>
            </w:r>
            <w:hyperlink r:id="rId7" w:history="1">
              <w:r w:rsidRPr="009B5322">
                <w:rPr>
                  <w:rStyle w:val="Hyperlink"/>
                  <w:szCs w:val="24"/>
                </w:rPr>
                <w:t>HYDROCARBON STORAGE FACILITIES</w:t>
              </w:r>
            </w:hyperlink>
            <w:r>
              <w:t>.</w:t>
            </w:r>
          </w:p>
          <w:p w:rsidR="00BC5938" w:rsidRPr="003C483D" w:rsidRDefault="00BC5938" w:rsidP="005C25A3">
            <w:pPr>
              <w:rPr>
                <w:sz w:val="20"/>
              </w:rPr>
            </w:pPr>
            <w:r>
              <w:t xml:space="preserve">The permittee shall install </w:t>
            </w:r>
            <w:r w:rsidRPr="00256763">
              <w:rPr>
                <w:color w:val="FF0000"/>
              </w:rPr>
              <w:t>[</w:t>
            </w:r>
            <w:r w:rsidRPr="00E1208F">
              <w:rPr>
                <w:color w:val="FF0000"/>
              </w:rPr>
              <w:t>describe control device]</w:t>
            </w:r>
            <w:r w:rsidRPr="00E1208F">
              <w:t xml:space="preserve"> </w:t>
            </w:r>
            <w:r>
              <w:t xml:space="preserve">to minimize hydrocarbon and hydrogen sulfide loss to the atmosphere </w:t>
            </w:r>
            <w:r w:rsidRPr="00D65F45">
              <w:t xml:space="preserve">and shall not operate the tank without the control device. </w:t>
            </w:r>
          </w:p>
        </w:tc>
      </w:tr>
      <w:tr w:rsidR="00BC5938" w:rsidTr="005C25A3">
        <w:trPr>
          <w:cantSplit/>
          <w:jc w:val="center"/>
        </w:trPr>
        <w:tc>
          <w:tcPr>
            <w:tcW w:w="9360" w:type="dxa"/>
          </w:tcPr>
          <w:p w:rsidR="00BC5938" w:rsidRPr="00D33C14" w:rsidRDefault="00BC5938" w:rsidP="005C25A3">
            <w:r w:rsidRPr="00642E19">
              <w:rPr>
                <w:b/>
              </w:rPr>
              <w:lastRenderedPageBreak/>
              <w:t xml:space="preserve">Monitoring: </w:t>
            </w:r>
            <w:r>
              <w:t xml:space="preserve">The permittee shall monitor the tank(s) operation. </w:t>
            </w:r>
          </w:p>
        </w:tc>
      </w:tr>
      <w:tr w:rsidR="00BC5938" w:rsidTr="005C25A3">
        <w:trPr>
          <w:jc w:val="center"/>
        </w:trPr>
        <w:tc>
          <w:tcPr>
            <w:tcW w:w="9360" w:type="dxa"/>
          </w:tcPr>
          <w:p w:rsidR="00BC5938" w:rsidRPr="00A14C5E" w:rsidRDefault="00BC5938" w:rsidP="005C25A3">
            <w:r w:rsidRPr="00642E19">
              <w:rPr>
                <w:b/>
              </w:rPr>
              <w:t xml:space="preserve">Recordkeeping: </w:t>
            </w:r>
            <w:r>
              <w:t xml:space="preserve">The permittee shall </w:t>
            </w:r>
            <w:r w:rsidRPr="00E1208F">
              <w:t xml:space="preserve">record </w:t>
            </w:r>
            <w:r w:rsidRPr="00D93A3F">
              <w:rPr>
                <w:color w:val="FF0000"/>
              </w:rPr>
              <w:t>[</w:t>
            </w:r>
            <w:r w:rsidRPr="00E1208F">
              <w:rPr>
                <w:color w:val="FF0000"/>
              </w:rPr>
              <w:t>describe record].</w:t>
            </w:r>
            <w:r>
              <w:t xml:space="preserve"> </w:t>
            </w:r>
          </w:p>
        </w:tc>
      </w:tr>
      <w:tr w:rsidR="00BC5938" w:rsidTr="005C25A3">
        <w:trPr>
          <w:jc w:val="center"/>
        </w:trPr>
        <w:tc>
          <w:tcPr>
            <w:tcW w:w="9360" w:type="dxa"/>
          </w:tcPr>
          <w:p w:rsidR="00BC5938" w:rsidRPr="00A14C5E" w:rsidRDefault="00BC5938" w:rsidP="005C25A3">
            <w:r w:rsidRPr="00642E19">
              <w:rPr>
                <w:b/>
              </w:rPr>
              <w:t>Reporting:</w:t>
            </w:r>
            <w:r w:rsidR="00D93A3F">
              <w:rPr>
                <w:b/>
              </w:rPr>
              <w:t xml:space="preserve"> </w:t>
            </w:r>
            <w:r w:rsidR="00410A4C">
              <w:t>The permittee shall report in accordance with Section B110.</w:t>
            </w:r>
          </w:p>
        </w:tc>
      </w:tr>
    </w:tbl>
    <w:p w:rsidR="00BC5938" w:rsidRPr="008C2238" w:rsidRDefault="00BC5938" w:rsidP="00DA1B84">
      <w:pPr>
        <w:pStyle w:val="AQBLvl-1Condition"/>
        <w:tabs>
          <w:tab w:val="clear" w:pos="936"/>
          <w:tab w:val="num" w:pos="900"/>
        </w:tabs>
        <w:spacing w:before="240"/>
        <w:ind w:left="360" w:firstLine="0"/>
        <w:rPr>
          <w:szCs w:val="24"/>
        </w:rPr>
      </w:pPr>
      <w:r>
        <w:rPr>
          <w:szCs w:val="24"/>
        </w:rPr>
        <w:t xml:space="preserve">40 CFR 60, Subpart K </w:t>
      </w:r>
      <w:r w:rsidR="00256763">
        <w:t xml:space="preserve">(Unit(s) </w:t>
      </w:r>
      <w:r w:rsidR="00256763" w:rsidRPr="004A4BB9">
        <w:rPr>
          <w:bCs/>
          <w:color w:val="FF0000"/>
        </w:rPr>
        <w:t>X, Y, and Z</w:t>
      </w:r>
      <w:r w:rsidR="00256763">
        <w:rPr>
          <w:bCs/>
          <w:color w:val="FF0000"/>
        </w:rPr>
        <w:t>)</w:t>
      </w:r>
    </w:p>
    <w:tbl>
      <w:tblPr>
        <w:tblStyle w:val="TableGrid"/>
        <w:tblW w:w="9360" w:type="dxa"/>
        <w:jc w:val="center"/>
        <w:tblLook w:val="01E0" w:firstRow="1" w:lastRow="1" w:firstColumn="1" w:lastColumn="1" w:noHBand="0" w:noVBand="0"/>
      </w:tblPr>
      <w:tblGrid>
        <w:gridCol w:w="9360"/>
      </w:tblGrid>
      <w:tr w:rsidR="00BC5938" w:rsidTr="005C25A3">
        <w:trPr>
          <w:jc w:val="center"/>
        </w:trPr>
        <w:tc>
          <w:tcPr>
            <w:tcW w:w="9360" w:type="dxa"/>
          </w:tcPr>
          <w:p w:rsidR="00BC5938" w:rsidRDefault="00BC5938" w:rsidP="005C25A3">
            <w:r w:rsidRPr="00004860">
              <w:rPr>
                <w:b/>
              </w:rPr>
              <w:t>Requirement:</w:t>
            </w:r>
            <w:r w:rsidRPr="00C60248">
              <w:t xml:space="preserve"> </w:t>
            </w:r>
            <w:r>
              <w:t>The unit(s)</w:t>
            </w:r>
            <w:r w:rsidR="00FE6B27">
              <w:t xml:space="preserve"> is subject to 40 CFR 60, </w:t>
            </w:r>
            <w:r w:rsidR="00033950">
              <w:t>Subpart</w:t>
            </w:r>
            <w:r w:rsidR="00FE6B27">
              <w:t xml:space="preserve"> K and the permittee</w:t>
            </w:r>
            <w:r>
              <w:t xml:space="preserve"> shall comply with the </w:t>
            </w:r>
            <w:r w:rsidR="00FE6B27">
              <w:t xml:space="preserve">VOC </w:t>
            </w:r>
            <w:r>
              <w:t xml:space="preserve">standard </w:t>
            </w:r>
            <w:r w:rsidR="00FE6B27">
              <w:t>as specified by 40 CFR 60.</w:t>
            </w:r>
            <w:r w:rsidRPr="001919CE">
              <w:t>112.</w:t>
            </w:r>
          </w:p>
        </w:tc>
      </w:tr>
      <w:tr w:rsidR="00BC5938" w:rsidTr="005C25A3">
        <w:trPr>
          <w:cantSplit/>
          <w:jc w:val="center"/>
        </w:trPr>
        <w:tc>
          <w:tcPr>
            <w:tcW w:w="9360" w:type="dxa"/>
          </w:tcPr>
          <w:p w:rsidR="00BC5938" w:rsidRPr="00D33C14" w:rsidRDefault="00BC5938" w:rsidP="005C25A3">
            <w:r w:rsidRPr="00642E19">
              <w:rPr>
                <w:b/>
              </w:rPr>
              <w:t xml:space="preserve">Monitoring: </w:t>
            </w:r>
            <w:r>
              <w:t xml:space="preserve">The permittee shall comply with monitoring requirements of </w:t>
            </w:r>
            <w:r w:rsidR="00FE6B27">
              <w:t>40 CFR 60.</w:t>
            </w:r>
            <w:r w:rsidRPr="001919CE">
              <w:t>113.</w:t>
            </w:r>
            <w:r>
              <w:rPr>
                <w:b/>
                <w:i/>
              </w:rPr>
              <w:t xml:space="preserve"> </w:t>
            </w:r>
          </w:p>
        </w:tc>
      </w:tr>
      <w:tr w:rsidR="00BC5938" w:rsidTr="005C25A3">
        <w:trPr>
          <w:jc w:val="center"/>
        </w:trPr>
        <w:tc>
          <w:tcPr>
            <w:tcW w:w="9360" w:type="dxa"/>
          </w:tcPr>
          <w:p w:rsidR="00BC5938" w:rsidRPr="00A14C5E" w:rsidRDefault="00BC5938" w:rsidP="005C25A3">
            <w:r w:rsidRPr="00642E19">
              <w:rPr>
                <w:b/>
              </w:rPr>
              <w:t xml:space="preserve">Recordkeeping: </w:t>
            </w:r>
            <w:r>
              <w:t>The permittee shall maintain records as required by 40 CFR 60</w:t>
            </w:r>
            <w:r w:rsidR="00FE6B27">
              <w:t>.7</w:t>
            </w:r>
            <w:r>
              <w:t xml:space="preserve">(f) of monitoring specified by </w:t>
            </w:r>
            <w:r w:rsidRPr="003D0892">
              <w:t>40 CFR 60</w:t>
            </w:r>
            <w:r w:rsidR="00FE6B27">
              <w:t>.</w:t>
            </w:r>
            <w:r w:rsidRPr="003D0892">
              <w:t>113</w:t>
            </w:r>
            <w:r>
              <w:t>.</w:t>
            </w:r>
          </w:p>
        </w:tc>
      </w:tr>
      <w:tr w:rsidR="00BC5938" w:rsidTr="005C25A3">
        <w:trPr>
          <w:jc w:val="center"/>
        </w:trPr>
        <w:tc>
          <w:tcPr>
            <w:tcW w:w="9360" w:type="dxa"/>
          </w:tcPr>
          <w:p w:rsidR="00BC5938" w:rsidRPr="00A14C5E" w:rsidRDefault="00BC5938" w:rsidP="005C25A3">
            <w:r w:rsidRPr="00642E19">
              <w:rPr>
                <w:b/>
              </w:rPr>
              <w:t xml:space="preserve">Reporting: </w:t>
            </w:r>
            <w:r w:rsidR="00410A4C">
              <w:t>The permittee shall report in accordance with Section B110.</w:t>
            </w:r>
          </w:p>
        </w:tc>
      </w:tr>
    </w:tbl>
    <w:p w:rsidR="00BC5938" w:rsidRPr="008C2238" w:rsidRDefault="00BC5938" w:rsidP="00DA1B84">
      <w:pPr>
        <w:pStyle w:val="AQBLvl-1Condition"/>
        <w:tabs>
          <w:tab w:val="clear" w:pos="936"/>
          <w:tab w:val="num" w:pos="900"/>
        </w:tabs>
        <w:spacing w:before="240"/>
        <w:ind w:left="360" w:firstLine="0"/>
        <w:rPr>
          <w:szCs w:val="24"/>
        </w:rPr>
      </w:pPr>
      <w:r>
        <w:rPr>
          <w:szCs w:val="24"/>
        </w:rPr>
        <w:t xml:space="preserve">40 CFR 60, Subpart Ka </w:t>
      </w:r>
      <w:r w:rsidR="00256763">
        <w:t xml:space="preserve">(Unit(s) </w:t>
      </w:r>
      <w:r w:rsidR="00256763" w:rsidRPr="004A4BB9">
        <w:rPr>
          <w:bCs/>
          <w:color w:val="FF0000"/>
        </w:rPr>
        <w:t>X, Y, and Z</w:t>
      </w:r>
      <w:r w:rsidR="00256763">
        <w:rPr>
          <w:bCs/>
          <w:color w:val="FF0000"/>
        </w:rPr>
        <w:t>)</w:t>
      </w:r>
    </w:p>
    <w:tbl>
      <w:tblPr>
        <w:tblStyle w:val="TableGrid"/>
        <w:tblW w:w="9360" w:type="dxa"/>
        <w:jc w:val="center"/>
        <w:tblLook w:val="01E0" w:firstRow="1" w:lastRow="1" w:firstColumn="1" w:lastColumn="1" w:noHBand="0" w:noVBand="0"/>
      </w:tblPr>
      <w:tblGrid>
        <w:gridCol w:w="9360"/>
      </w:tblGrid>
      <w:tr w:rsidR="00BC5938" w:rsidTr="005C25A3">
        <w:trPr>
          <w:jc w:val="center"/>
        </w:trPr>
        <w:tc>
          <w:tcPr>
            <w:tcW w:w="9360" w:type="dxa"/>
          </w:tcPr>
          <w:p w:rsidR="00BC5938" w:rsidRDefault="00BC5938" w:rsidP="005C25A3">
            <w:r w:rsidRPr="00004860">
              <w:rPr>
                <w:b/>
              </w:rPr>
              <w:t>Requirement:</w:t>
            </w:r>
            <w:r w:rsidRPr="00C60248">
              <w:t xml:space="preserve"> </w:t>
            </w:r>
            <w:r w:rsidR="00FE6B27">
              <w:t xml:space="preserve">The unit(s) is subject to 40 CFR 60, </w:t>
            </w:r>
            <w:proofErr w:type="spellStart"/>
            <w:r w:rsidR="00FE6B27">
              <w:t>Supbart</w:t>
            </w:r>
            <w:proofErr w:type="spellEnd"/>
            <w:r w:rsidR="00FE6B27">
              <w:t xml:space="preserve"> Ka and the permittee </w:t>
            </w:r>
            <w:r>
              <w:t xml:space="preserve">shall comply with the </w:t>
            </w:r>
            <w:r w:rsidR="00D710E3">
              <w:t xml:space="preserve">VOC </w:t>
            </w:r>
            <w:r>
              <w:t>standard as specified by 40 CFR 60</w:t>
            </w:r>
            <w:r w:rsidRPr="001919CE">
              <w:t>.112a.</w:t>
            </w:r>
          </w:p>
        </w:tc>
      </w:tr>
      <w:tr w:rsidR="00BC5938" w:rsidTr="005C25A3">
        <w:trPr>
          <w:cantSplit/>
          <w:jc w:val="center"/>
        </w:trPr>
        <w:tc>
          <w:tcPr>
            <w:tcW w:w="9360" w:type="dxa"/>
          </w:tcPr>
          <w:p w:rsidR="00BC5938" w:rsidRPr="00D33C14" w:rsidRDefault="00BC5938" w:rsidP="005C25A3">
            <w:r w:rsidRPr="00642E19">
              <w:rPr>
                <w:b/>
              </w:rPr>
              <w:t xml:space="preserve">Monitoring: </w:t>
            </w:r>
            <w:r>
              <w:t xml:space="preserve">The permittee shall comply with </w:t>
            </w:r>
            <w:r w:rsidR="00C62671">
              <w:t xml:space="preserve">the testing requirements of </w:t>
            </w:r>
            <w:r w:rsidR="00C62671" w:rsidRPr="001919CE">
              <w:t>40 CFR 60.11</w:t>
            </w:r>
            <w:r w:rsidR="00C62671">
              <w:t>3</w:t>
            </w:r>
            <w:r w:rsidR="00C62671" w:rsidRPr="001919CE">
              <w:t>a</w:t>
            </w:r>
            <w:r w:rsidR="00C62671">
              <w:t xml:space="preserve"> and the </w:t>
            </w:r>
            <w:r>
              <w:t xml:space="preserve">monitoring requirements of </w:t>
            </w:r>
            <w:r w:rsidRPr="001919CE">
              <w:t>40 CFR 60.115a</w:t>
            </w:r>
            <w:r w:rsidR="008005B8">
              <w:t>.</w:t>
            </w:r>
          </w:p>
        </w:tc>
      </w:tr>
      <w:tr w:rsidR="00BC5938" w:rsidTr="005C25A3">
        <w:trPr>
          <w:jc w:val="center"/>
        </w:trPr>
        <w:tc>
          <w:tcPr>
            <w:tcW w:w="9360" w:type="dxa"/>
          </w:tcPr>
          <w:p w:rsidR="00BC5938" w:rsidRPr="00A14C5E" w:rsidRDefault="00BC5938" w:rsidP="005C25A3">
            <w:r w:rsidRPr="00642E19">
              <w:rPr>
                <w:b/>
              </w:rPr>
              <w:t xml:space="preserve">Recordkeeping: </w:t>
            </w:r>
            <w:r>
              <w:t xml:space="preserve">The permittee shall maintain records as specified by </w:t>
            </w:r>
            <w:r w:rsidR="00D710E3">
              <w:t xml:space="preserve">40 CFR </w:t>
            </w:r>
            <w:r w:rsidR="008005B8" w:rsidRPr="003D0892">
              <w:t>60.115a</w:t>
            </w:r>
            <w:r w:rsidR="008005B8">
              <w:t xml:space="preserve">, </w:t>
            </w:r>
            <w:r w:rsidR="00D710E3">
              <w:t>60.</w:t>
            </w:r>
            <w:r w:rsidRPr="003D0892">
              <w:t>113a(D)</w:t>
            </w:r>
            <w:r w:rsidR="008005B8">
              <w:t>,</w:t>
            </w:r>
            <w:r w:rsidRPr="003D0892">
              <w:t xml:space="preserve"> and </w:t>
            </w:r>
            <w:r w:rsidR="008005B8">
              <w:t xml:space="preserve">60.7(f). </w:t>
            </w:r>
          </w:p>
        </w:tc>
      </w:tr>
      <w:tr w:rsidR="00BC5938" w:rsidTr="005C25A3">
        <w:trPr>
          <w:jc w:val="center"/>
        </w:trPr>
        <w:tc>
          <w:tcPr>
            <w:tcW w:w="9360" w:type="dxa"/>
          </w:tcPr>
          <w:p w:rsidR="00BC5938" w:rsidRPr="00A14C5E" w:rsidRDefault="00BC5938" w:rsidP="005C25A3">
            <w:r w:rsidRPr="00642E19">
              <w:rPr>
                <w:b/>
              </w:rPr>
              <w:t xml:space="preserve">Reporting: </w:t>
            </w:r>
            <w:r>
              <w:t xml:space="preserve">The permittee shall comply with reporting requirements of </w:t>
            </w:r>
            <w:r w:rsidR="00D710E3">
              <w:t>40 CFR 60.</w:t>
            </w:r>
            <w:r w:rsidRPr="009945A4">
              <w:t>113a(E)</w:t>
            </w:r>
            <w:r>
              <w:t>.</w:t>
            </w:r>
          </w:p>
        </w:tc>
      </w:tr>
    </w:tbl>
    <w:p w:rsidR="00BC5938" w:rsidRPr="00575CE2" w:rsidRDefault="00BC5938" w:rsidP="00DA1B84">
      <w:pPr>
        <w:pStyle w:val="AQBLvl-1Condition"/>
        <w:tabs>
          <w:tab w:val="clear" w:pos="936"/>
          <w:tab w:val="num" w:pos="900"/>
        </w:tabs>
        <w:spacing w:before="240"/>
        <w:ind w:left="360" w:firstLine="0"/>
      </w:pPr>
      <w:r>
        <w:rPr>
          <w:szCs w:val="24"/>
        </w:rPr>
        <w:t xml:space="preserve">40 CFR 60, Subpart Kb </w:t>
      </w:r>
      <w:r w:rsidR="00256763">
        <w:t xml:space="preserve">(Unit(s) </w:t>
      </w:r>
      <w:r w:rsidR="00256763" w:rsidRPr="004A4BB9">
        <w:rPr>
          <w:bCs/>
          <w:color w:val="FF0000"/>
        </w:rPr>
        <w:t>X, Y, and Z</w:t>
      </w:r>
      <w:r w:rsidR="00256763">
        <w:rPr>
          <w:bCs/>
          <w:color w:val="FF0000"/>
        </w:rPr>
        <w:t>)</w:t>
      </w:r>
    </w:p>
    <w:tbl>
      <w:tblPr>
        <w:tblStyle w:val="TableGrid"/>
        <w:tblW w:w="9360" w:type="dxa"/>
        <w:jc w:val="center"/>
        <w:tblLook w:val="01E0" w:firstRow="1" w:lastRow="1" w:firstColumn="1" w:lastColumn="1" w:noHBand="0" w:noVBand="0"/>
      </w:tblPr>
      <w:tblGrid>
        <w:gridCol w:w="9360"/>
      </w:tblGrid>
      <w:tr w:rsidR="00BC5938" w:rsidTr="005C25A3">
        <w:trPr>
          <w:jc w:val="center"/>
        </w:trPr>
        <w:tc>
          <w:tcPr>
            <w:tcW w:w="9360" w:type="dxa"/>
          </w:tcPr>
          <w:p w:rsidR="00BC5938" w:rsidRDefault="00BC5938" w:rsidP="005C25A3">
            <w:r w:rsidRPr="00004860">
              <w:rPr>
                <w:b/>
              </w:rPr>
              <w:t>Requirement:</w:t>
            </w:r>
            <w:r w:rsidRPr="00C60248">
              <w:t xml:space="preserve"> </w:t>
            </w:r>
            <w:r w:rsidR="00D710E3">
              <w:t xml:space="preserve">The unit(s) is subject to 40 CFR 60, </w:t>
            </w:r>
            <w:r w:rsidR="009A5C35">
              <w:t>Subpart</w:t>
            </w:r>
            <w:r w:rsidR="00D710E3">
              <w:t xml:space="preserve"> Kb and the permittee shall </w:t>
            </w:r>
            <w:r>
              <w:t xml:space="preserve">comply with the </w:t>
            </w:r>
            <w:r w:rsidR="00D710E3">
              <w:t>VOC standard as specified by 40 CFR 60.</w:t>
            </w:r>
            <w:r w:rsidRPr="00A51481">
              <w:t>112b.</w:t>
            </w:r>
          </w:p>
        </w:tc>
      </w:tr>
      <w:tr w:rsidR="00BC5938" w:rsidTr="005C25A3">
        <w:trPr>
          <w:cantSplit/>
          <w:jc w:val="center"/>
        </w:trPr>
        <w:tc>
          <w:tcPr>
            <w:tcW w:w="9360" w:type="dxa"/>
          </w:tcPr>
          <w:p w:rsidR="00BC5938" w:rsidRPr="00D33C14" w:rsidRDefault="00BC5938" w:rsidP="005C25A3">
            <w:r w:rsidRPr="00642E19">
              <w:rPr>
                <w:b/>
              </w:rPr>
              <w:t xml:space="preserve">Monitoring: </w:t>
            </w:r>
            <w:r>
              <w:t xml:space="preserve">The permittee shall comply with </w:t>
            </w:r>
            <w:r w:rsidR="00C62671">
              <w:t xml:space="preserve">the testing requirements of </w:t>
            </w:r>
            <w:r w:rsidR="00C62671" w:rsidRPr="001919CE">
              <w:t>40 CFR 60.11</w:t>
            </w:r>
            <w:r w:rsidR="00C62671">
              <w:t xml:space="preserve">3b and the </w:t>
            </w:r>
            <w:r>
              <w:t xml:space="preserve">monitoring requirements of </w:t>
            </w:r>
            <w:r w:rsidR="00D710E3">
              <w:t>40 CFR 60.</w:t>
            </w:r>
            <w:r w:rsidRPr="00A51481">
              <w:t>116b</w:t>
            </w:r>
            <w:r>
              <w:t>.</w:t>
            </w:r>
          </w:p>
        </w:tc>
      </w:tr>
      <w:tr w:rsidR="00BC5938" w:rsidTr="005C25A3">
        <w:trPr>
          <w:jc w:val="center"/>
        </w:trPr>
        <w:tc>
          <w:tcPr>
            <w:tcW w:w="9360" w:type="dxa"/>
          </w:tcPr>
          <w:p w:rsidR="00BC5938" w:rsidRPr="00A14C5E" w:rsidRDefault="00BC5938" w:rsidP="005C25A3">
            <w:r w:rsidRPr="00642E19">
              <w:rPr>
                <w:b/>
              </w:rPr>
              <w:t xml:space="preserve">Recordkeeping: </w:t>
            </w:r>
            <w:r>
              <w:t xml:space="preserve">The permittee shall maintain records as specified by </w:t>
            </w:r>
            <w:r w:rsidR="00D710E3">
              <w:t>40 CFR 60.</w:t>
            </w:r>
            <w:r w:rsidRPr="003D0892">
              <w:t>115b and 60.116b</w:t>
            </w:r>
            <w:r>
              <w:t>.</w:t>
            </w:r>
          </w:p>
        </w:tc>
      </w:tr>
      <w:tr w:rsidR="00BC5938" w:rsidTr="005C25A3">
        <w:trPr>
          <w:jc w:val="center"/>
        </w:trPr>
        <w:tc>
          <w:tcPr>
            <w:tcW w:w="9360" w:type="dxa"/>
          </w:tcPr>
          <w:p w:rsidR="00BC5938" w:rsidRPr="00A14C5E" w:rsidRDefault="00BC5938" w:rsidP="005C25A3">
            <w:r w:rsidRPr="00642E19">
              <w:rPr>
                <w:b/>
              </w:rPr>
              <w:t xml:space="preserve">Reporting: </w:t>
            </w:r>
            <w:r>
              <w:t xml:space="preserve">The permittee shall comply with reporting requirements of </w:t>
            </w:r>
            <w:r w:rsidR="00D710E3">
              <w:t>40 CFR 60.</w:t>
            </w:r>
            <w:r w:rsidRPr="009945A4">
              <w:t>115b</w:t>
            </w:r>
            <w:r>
              <w:t>.</w:t>
            </w:r>
          </w:p>
        </w:tc>
      </w:tr>
    </w:tbl>
    <w:bookmarkEnd w:id="3"/>
    <w:p w:rsidR="00880C70" w:rsidRPr="00376D6A" w:rsidRDefault="001E2A34" w:rsidP="00E31233">
      <w:pPr>
        <w:pStyle w:val="AQBCLvl-1"/>
        <w:numPr>
          <w:ilvl w:val="0"/>
          <w:numId w:val="2"/>
        </w:numPr>
        <w:tabs>
          <w:tab w:val="num" w:pos="1123"/>
        </w:tabs>
        <w:spacing w:before="240"/>
        <w:ind w:left="1123"/>
      </w:pPr>
      <w:r>
        <w:t>XXX</w:t>
      </w:r>
      <w:bookmarkStart w:id="4" w:name="a_1"/>
      <w:bookmarkStart w:id="5" w:name="a_2"/>
      <w:bookmarkStart w:id="6" w:name="a_3"/>
      <w:bookmarkStart w:id="7" w:name="a_4"/>
      <w:bookmarkStart w:id="8" w:name="b"/>
      <w:bookmarkStart w:id="9" w:name="c"/>
      <w:bookmarkStart w:id="10" w:name="d"/>
      <w:bookmarkStart w:id="11" w:name="c_1"/>
      <w:bookmarkStart w:id="12" w:name="c_2"/>
      <w:bookmarkStart w:id="13" w:name="c_2_i"/>
      <w:bookmarkStart w:id="14" w:name="c_2_ii"/>
      <w:bookmarkStart w:id="15" w:name="d_1"/>
      <w:bookmarkStart w:id="16" w:name="d_2"/>
      <w:bookmarkEnd w:id="4"/>
      <w:bookmarkEnd w:id="5"/>
      <w:bookmarkEnd w:id="6"/>
      <w:bookmarkEnd w:id="7"/>
      <w:bookmarkEnd w:id="8"/>
      <w:bookmarkEnd w:id="9"/>
      <w:bookmarkEnd w:id="10"/>
      <w:bookmarkEnd w:id="11"/>
      <w:bookmarkEnd w:id="12"/>
      <w:bookmarkEnd w:id="13"/>
      <w:bookmarkEnd w:id="14"/>
      <w:bookmarkEnd w:id="15"/>
      <w:bookmarkEnd w:id="16"/>
      <w:r w:rsidR="00880C70" w:rsidRPr="003F1729">
        <w:t xml:space="preserve">40 </w:t>
      </w:r>
      <w:smartTag w:uri="urn:schemas-microsoft-com:office:smarttags" w:element="stockticker">
        <w:r w:rsidR="00880C70" w:rsidRPr="003F1729">
          <w:t>CFR</w:t>
        </w:r>
      </w:smartTag>
      <w:r w:rsidR="00880C70" w:rsidRPr="003F1729">
        <w:t xml:space="preserve"> 6</w:t>
      </w:r>
      <w:r w:rsidR="00880C70">
        <w:t>3</w:t>
      </w:r>
      <w:r w:rsidR="00880C70" w:rsidRPr="003F1729">
        <w:t xml:space="preserve">, Subpart </w:t>
      </w:r>
      <w:r w:rsidR="00880C70">
        <w:t>CCCCCC, Gasoline Dispensing Facilities</w:t>
      </w:r>
      <w:r w:rsidR="00880C70" w:rsidRPr="003F1729">
        <w:t xml:space="preserve"> </w:t>
      </w:r>
      <w:r w:rsidR="00880C70">
        <w:t>(</w:t>
      </w:r>
      <w:r w:rsidR="00880C70" w:rsidRPr="003F1729">
        <w:t xml:space="preserve">Unit </w:t>
      </w:r>
      <w:r w:rsidR="00880C70">
        <w:t>GDF</w:t>
      </w:r>
      <w:r w:rsidR="00880C70" w:rsidRPr="00D73F68">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80C70" w:rsidTr="00EE20D6">
        <w:trPr>
          <w:jc w:val="center"/>
        </w:trPr>
        <w:tc>
          <w:tcPr>
            <w:tcW w:w="9360" w:type="dxa"/>
          </w:tcPr>
          <w:p w:rsidR="00880C70" w:rsidRDefault="00880C70" w:rsidP="00787FE2">
            <w:pPr>
              <w:pStyle w:val="AQBTCondition"/>
            </w:pPr>
            <w:r>
              <w:rPr>
                <w:b/>
              </w:rPr>
              <w:t xml:space="preserve">Requirement: </w:t>
            </w:r>
            <w:r w:rsidRPr="009423DB">
              <w:rPr>
                <w:color w:val="000000"/>
              </w:rPr>
              <w:t xml:space="preserve">Each GDF that is located at an area source. The affected source includes each gasoline cargo tank during the delivery of product to a GDF and also includes each storage tank. The GDFs are subject to 40 </w:t>
            </w:r>
            <w:smartTag w:uri="urn:schemas-microsoft-com:office:smarttags" w:element="stockticker">
              <w:r w:rsidRPr="009423DB">
                <w:rPr>
                  <w:color w:val="000000"/>
                </w:rPr>
                <w:t>CFR</w:t>
              </w:r>
            </w:smartTag>
            <w:r w:rsidRPr="009423DB">
              <w:rPr>
                <w:color w:val="000000"/>
              </w:rPr>
              <w:t xml:space="preserve"> 6</w:t>
            </w:r>
            <w:r>
              <w:rPr>
                <w:color w:val="000000"/>
              </w:rPr>
              <w:t>3</w:t>
            </w:r>
            <w:r w:rsidRPr="009423DB">
              <w:rPr>
                <w:color w:val="000000"/>
              </w:rPr>
              <w:t xml:space="preserve">, Subparts A and CCCCCC and </w:t>
            </w:r>
            <w:r>
              <w:rPr>
                <w:color w:val="000000"/>
              </w:rPr>
              <w:t xml:space="preserve">since the </w:t>
            </w:r>
            <w:r w:rsidRPr="009423DB">
              <w:rPr>
                <w:color w:val="000000"/>
              </w:rPr>
              <w:t xml:space="preserve">GDF has a monthly throughput </w:t>
            </w:r>
            <w:r w:rsidRPr="00E31233">
              <w:rPr>
                <w:color w:val="000000"/>
              </w:rPr>
              <w:t xml:space="preserve">of 13,969 which is </w:t>
            </w:r>
            <w:r w:rsidRPr="00E31233">
              <w:rPr>
                <w:b/>
                <w:color w:val="FF0000"/>
              </w:rPr>
              <w:t>greater than 10,000 gallons</w:t>
            </w:r>
            <w:r w:rsidRPr="001E2A34">
              <w:rPr>
                <w:b/>
                <w:color w:val="FF0000"/>
              </w:rPr>
              <w:t xml:space="preserve"> </w:t>
            </w:r>
            <w:r w:rsidRPr="009423DB">
              <w:rPr>
                <w:color w:val="000000"/>
              </w:rPr>
              <w:t xml:space="preserve">of gasoline, </w:t>
            </w:r>
            <w:r>
              <w:rPr>
                <w:color w:val="000000"/>
              </w:rPr>
              <w:t>the permittee</w:t>
            </w:r>
            <w:r w:rsidRPr="009423DB">
              <w:rPr>
                <w:color w:val="000000"/>
              </w:rPr>
              <w:t xml:space="preserve"> must comply with the requirements in §63.11117.</w:t>
            </w:r>
          </w:p>
        </w:tc>
      </w:tr>
      <w:tr w:rsidR="00880C70" w:rsidTr="00EE20D6">
        <w:trPr>
          <w:jc w:val="center"/>
        </w:trPr>
        <w:tc>
          <w:tcPr>
            <w:tcW w:w="9360" w:type="dxa"/>
          </w:tcPr>
          <w:p w:rsidR="00880C70" w:rsidRPr="005A3AB4" w:rsidRDefault="00880C70" w:rsidP="00EE20D6">
            <w:pPr>
              <w:pStyle w:val="AQBTCondition"/>
            </w:pPr>
            <w:r w:rsidRPr="005A3AB4">
              <w:rPr>
                <w:b/>
              </w:rPr>
              <w:t>Monitoring:</w:t>
            </w:r>
            <w:r w:rsidRPr="005A3AB4">
              <w:t xml:space="preserve"> The permittee shall comply with all applicable monitoring requirements in 40 </w:t>
            </w:r>
            <w:smartTag w:uri="urn:schemas-microsoft-com:office:smarttags" w:element="stockticker">
              <w:r w:rsidRPr="005A3AB4">
                <w:t>CFR</w:t>
              </w:r>
            </w:smartTag>
            <w:r w:rsidRPr="005A3AB4">
              <w:t xml:space="preserve"> 6</w:t>
            </w:r>
            <w:r>
              <w:t>3</w:t>
            </w:r>
            <w:r w:rsidRPr="005A3AB4">
              <w:t xml:space="preserve">, Subpart A and Subpart </w:t>
            </w:r>
            <w:r>
              <w:t>CCCCCC</w:t>
            </w:r>
            <w:r w:rsidRPr="005A3AB4">
              <w:t>, including but not limited to 6</w:t>
            </w:r>
            <w:r>
              <w:t>3</w:t>
            </w:r>
            <w:r w:rsidRPr="005A3AB4">
              <w:t>.</w:t>
            </w:r>
            <w:r>
              <w:t>11117</w:t>
            </w:r>
            <w:r w:rsidRPr="005A3AB4">
              <w:t>.</w:t>
            </w:r>
          </w:p>
        </w:tc>
      </w:tr>
      <w:tr w:rsidR="00880C70" w:rsidTr="00EE20D6">
        <w:trPr>
          <w:jc w:val="center"/>
        </w:trPr>
        <w:tc>
          <w:tcPr>
            <w:tcW w:w="9360" w:type="dxa"/>
          </w:tcPr>
          <w:p w:rsidR="00880C70" w:rsidRPr="005A3AB4" w:rsidRDefault="00880C70" w:rsidP="00880C70">
            <w:pPr>
              <w:pStyle w:val="ConditionIndent"/>
              <w:numPr>
                <w:ilvl w:val="0"/>
                <w:numId w:val="0"/>
              </w:numPr>
              <w:spacing w:before="0"/>
            </w:pPr>
            <w:r w:rsidRPr="005A3AB4">
              <w:rPr>
                <w:b/>
              </w:rPr>
              <w:t>Recordkeeping:</w:t>
            </w:r>
            <w:r w:rsidRPr="005A3AB4">
              <w:t xml:space="preserve">  The permittee shall comply with all applicable recordkeeping requirements in 40 </w:t>
            </w:r>
            <w:smartTag w:uri="urn:schemas-microsoft-com:office:smarttags" w:element="stockticker">
              <w:r w:rsidRPr="005A3AB4">
                <w:t>CFR</w:t>
              </w:r>
            </w:smartTag>
            <w:r w:rsidRPr="005A3AB4">
              <w:t xml:space="preserve"> 6</w:t>
            </w:r>
            <w:r>
              <w:t>3</w:t>
            </w:r>
            <w:r w:rsidRPr="005A3AB4">
              <w:t xml:space="preserve">, Subpart A and Subpart </w:t>
            </w:r>
            <w:r>
              <w:t>CCCCCC</w:t>
            </w:r>
            <w:r w:rsidRPr="005A3AB4">
              <w:t>, including but not limited to 6</w:t>
            </w:r>
            <w:r>
              <w:t>3</w:t>
            </w:r>
            <w:r w:rsidRPr="005A3AB4">
              <w:t>.</w:t>
            </w:r>
            <w:r>
              <w:t>11124</w:t>
            </w:r>
            <w:r w:rsidRPr="005A3AB4">
              <w:t>.</w:t>
            </w:r>
          </w:p>
        </w:tc>
      </w:tr>
      <w:tr w:rsidR="00880C70" w:rsidTr="00EE20D6">
        <w:trPr>
          <w:jc w:val="center"/>
        </w:trPr>
        <w:tc>
          <w:tcPr>
            <w:tcW w:w="9360" w:type="dxa"/>
          </w:tcPr>
          <w:p w:rsidR="00880C70" w:rsidRPr="005A3AB4" w:rsidRDefault="00880C70" w:rsidP="00EE20D6">
            <w:pPr>
              <w:pStyle w:val="AQBTCondition"/>
            </w:pPr>
            <w:r w:rsidRPr="005A3AB4">
              <w:rPr>
                <w:b/>
              </w:rPr>
              <w:t>Reporting:</w:t>
            </w:r>
            <w:r w:rsidRPr="005A3AB4">
              <w:t xml:space="preserve"> The permittee shall comply with all applicable reporting</w:t>
            </w:r>
            <w:r>
              <w:t xml:space="preserve"> and notification</w:t>
            </w:r>
            <w:r w:rsidRPr="005A3AB4">
              <w:t xml:space="preserve"> requirements in 40 </w:t>
            </w:r>
            <w:smartTag w:uri="urn:schemas-microsoft-com:office:smarttags" w:element="stockticker">
              <w:r w:rsidRPr="005A3AB4">
                <w:t>CFR</w:t>
              </w:r>
            </w:smartTag>
            <w:r w:rsidRPr="005A3AB4">
              <w:t xml:space="preserve"> 6</w:t>
            </w:r>
            <w:r>
              <w:t>3</w:t>
            </w:r>
            <w:r w:rsidRPr="005A3AB4">
              <w:t xml:space="preserve">, Subpart A and Subpart </w:t>
            </w:r>
            <w:r>
              <w:t>CCCCCC</w:t>
            </w:r>
            <w:r w:rsidRPr="005A3AB4">
              <w:t>, including but not limited to 6</w:t>
            </w:r>
            <w:r>
              <w:t>3</w:t>
            </w:r>
            <w:r w:rsidRPr="005A3AB4">
              <w:t>.</w:t>
            </w:r>
            <w:r>
              <w:t>11124</w:t>
            </w:r>
            <w:r w:rsidRPr="005A3AB4">
              <w:t>.</w:t>
            </w:r>
          </w:p>
        </w:tc>
      </w:tr>
    </w:tbl>
    <w:p w:rsidR="005B2D11" w:rsidRDefault="005B2D11"/>
    <w:p w:rsidR="00787FE2" w:rsidRPr="00E31233" w:rsidRDefault="00787FE2" w:rsidP="00787FE2">
      <w:pPr>
        <w:pStyle w:val="AQBCLvl-1"/>
        <w:numPr>
          <w:ilvl w:val="0"/>
          <w:numId w:val="2"/>
        </w:numPr>
        <w:tabs>
          <w:tab w:val="clear" w:pos="936"/>
          <w:tab w:val="num" w:pos="1123"/>
        </w:tabs>
        <w:spacing w:before="240"/>
        <w:ind w:left="1123"/>
        <w:rPr>
          <w:szCs w:val="24"/>
        </w:rPr>
      </w:pPr>
      <w:r>
        <w:rPr>
          <w:szCs w:val="24"/>
        </w:rPr>
        <w:t xml:space="preserve">Tank Vapor Recovery Unit (VRU) </w:t>
      </w:r>
      <w:r w:rsidRPr="00E31233">
        <w:rPr>
          <w:szCs w:val="24"/>
        </w:rPr>
        <w:t xml:space="preserve">Control Device Inspection (Units </w:t>
      </w:r>
      <w:r w:rsidRPr="00E31233">
        <w:rPr>
          <w:b/>
          <w:bCs/>
          <w:color w:val="FF0000"/>
          <w:szCs w:val="24"/>
        </w:rPr>
        <w:t>X, Y, Z and W</w:t>
      </w:r>
      <w:r w:rsidRPr="00E31233">
        <w:rPr>
          <w:szCs w:val="24"/>
        </w:rPr>
        <w:t>)</w:t>
      </w:r>
    </w:p>
    <w:tbl>
      <w:tblPr>
        <w:tblW w:w="9360" w:type="dxa"/>
        <w:jc w:val="center"/>
        <w:tblCellMar>
          <w:left w:w="0" w:type="dxa"/>
          <w:right w:w="0" w:type="dxa"/>
        </w:tblCellMar>
        <w:tblLook w:val="04A0" w:firstRow="1" w:lastRow="0" w:firstColumn="1" w:lastColumn="0" w:noHBand="0" w:noVBand="1"/>
      </w:tblPr>
      <w:tblGrid>
        <w:gridCol w:w="9360"/>
      </w:tblGrid>
      <w:tr w:rsidR="00787FE2" w:rsidRPr="00787FE2" w:rsidTr="00787FE2">
        <w:trPr>
          <w:jc w:val="center"/>
        </w:trPr>
        <w:tc>
          <w:tcPr>
            <w:tcW w:w="9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7FE2" w:rsidRPr="00787FE2" w:rsidRDefault="00787FE2" w:rsidP="00E31233">
            <w:pPr>
              <w:widowControl/>
              <w:snapToGrid w:val="0"/>
              <w:spacing w:before="120"/>
              <w:jc w:val="left"/>
              <w:rPr>
                <w:rFonts w:eastAsia="Calibri"/>
                <w:snapToGrid/>
                <w:szCs w:val="24"/>
              </w:rPr>
            </w:pPr>
            <w:r w:rsidRPr="00787FE2">
              <w:rPr>
                <w:rFonts w:eastAsia="Calibri"/>
                <w:b/>
                <w:bCs/>
                <w:snapToGrid/>
                <w:szCs w:val="24"/>
              </w:rPr>
              <w:t>Requirement:</w:t>
            </w:r>
            <w:r w:rsidRPr="00787FE2">
              <w:rPr>
                <w:rFonts w:eastAsia="Calibri"/>
                <w:snapToGrid/>
                <w:szCs w:val="24"/>
              </w:rPr>
              <w:t xml:space="preserve"> The vapor recovery unit shall at all times be operated as a closed loop system that captures and routes VOCs from tanks </w:t>
            </w:r>
            <w:r w:rsidRPr="00787FE2">
              <w:rPr>
                <w:rFonts w:eastAsia="Calibri"/>
                <w:b/>
                <w:bCs/>
                <w:snapToGrid/>
                <w:color w:val="FF0000"/>
                <w:szCs w:val="24"/>
              </w:rPr>
              <w:t>X, Y, Z and W</w:t>
            </w:r>
            <w:r w:rsidRPr="00787FE2">
              <w:rPr>
                <w:rFonts w:eastAsia="Calibri"/>
                <w:snapToGrid/>
                <w:szCs w:val="24"/>
              </w:rPr>
              <w:t xml:space="preserve"> back to the process stream and does not vent to the atmosphere. </w:t>
            </w:r>
          </w:p>
        </w:tc>
      </w:tr>
      <w:tr w:rsidR="00787FE2" w:rsidRPr="00787FE2" w:rsidTr="00787FE2">
        <w:trPr>
          <w:jc w:val="center"/>
        </w:trPr>
        <w:tc>
          <w:tcPr>
            <w:tcW w:w="9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7FE2" w:rsidRPr="00787FE2" w:rsidRDefault="00787FE2" w:rsidP="00787FE2">
            <w:pPr>
              <w:widowControl/>
              <w:spacing w:before="120"/>
              <w:rPr>
                <w:rFonts w:eastAsia="Calibri"/>
                <w:snapToGrid/>
                <w:szCs w:val="24"/>
              </w:rPr>
            </w:pPr>
            <w:r w:rsidRPr="00E31233">
              <w:rPr>
                <w:rFonts w:eastAsia="Calibri"/>
                <w:b/>
                <w:bCs/>
                <w:snapToGrid/>
                <w:szCs w:val="24"/>
              </w:rPr>
              <w:t>Monitoring:</w:t>
            </w:r>
            <w:r w:rsidRPr="00E31233">
              <w:rPr>
                <w:rFonts w:eastAsia="Calibri"/>
                <w:snapToGrid/>
                <w:szCs w:val="24"/>
              </w:rPr>
              <w:t xml:space="preserve"> At least once per month, the permittee shall inspect the vapor recovery unit for defects that could result in air emissions. Defects include, but are not limited to, visible cracks, holes, or gaps; broken, cracked, or otherwise damaged seals or gaskets on closure devices; and broken or missing hatches, access covers, caps, or other closure devices. In the event that a leak or defect is detected, the permittee shall repair the leak or defect as </w:t>
            </w:r>
            <w:r w:rsidRPr="00E31233">
              <w:rPr>
                <w:rFonts w:eastAsia="Calibri"/>
                <w:snapToGrid/>
                <w:color w:val="FF00FF"/>
                <w:szCs w:val="24"/>
              </w:rPr>
              <w:t>soon as practicable</w:t>
            </w:r>
            <w:r w:rsidRPr="00E31233">
              <w:rPr>
                <w:rFonts w:eastAsia="Calibri"/>
                <w:snapToGrid/>
                <w:szCs w:val="24"/>
              </w:rPr>
              <w:t xml:space="preserve"> and in a manner that minimizes VOC and HAPs emissions to the atmosphere. </w:t>
            </w:r>
          </w:p>
        </w:tc>
      </w:tr>
      <w:tr w:rsidR="00787FE2" w:rsidRPr="00787FE2" w:rsidTr="00787FE2">
        <w:trPr>
          <w:jc w:val="center"/>
        </w:trPr>
        <w:tc>
          <w:tcPr>
            <w:tcW w:w="9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7FE2" w:rsidRPr="00787FE2" w:rsidRDefault="00787FE2" w:rsidP="00787FE2">
            <w:pPr>
              <w:widowControl/>
              <w:spacing w:before="120"/>
              <w:rPr>
                <w:rFonts w:eastAsia="Calibri"/>
                <w:snapToGrid/>
                <w:szCs w:val="24"/>
              </w:rPr>
            </w:pPr>
            <w:r w:rsidRPr="00E31233">
              <w:rPr>
                <w:rFonts w:eastAsia="Calibri"/>
                <w:b/>
                <w:bCs/>
                <w:snapToGrid/>
                <w:szCs w:val="24"/>
              </w:rPr>
              <w:t>Recordkeeping:</w:t>
            </w:r>
            <w:r w:rsidRPr="00E31233">
              <w:rPr>
                <w:rFonts w:eastAsia="Calibri"/>
                <w:snapToGrid/>
                <w:szCs w:val="24"/>
              </w:rPr>
              <w:t xml:space="preserve"> The permittee shall record the results of the vapor recovery unit inspections chronologically, noting any maintenance or repairs that are required. </w:t>
            </w:r>
          </w:p>
        </w:tc>
      </w:tr>
      <w:tr w:rsidR="00787FE2" w:rsidRPr="00787FE2" w:rsidTr="00787FE2">
        <w:trPr>
          <w:jc w:val="center"/>
        </w:trPr>
        <w:tc>
          <w:tcPr>
            <w:tcW w:w="9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7FE2" w:rsidRPr="00787FE2" w:rsidRDefault="00787FE2" w:rsidP="00787FE2">
            <w:pPr>
              <w:widowControl/>
              <w:spacing w:before="120"/>
              <w:rPr>
                <w:rFonts w:eastAsia="Calibri"/>
                <w:snapToGrid/>
                <w:szCs w:val="24"/>
              </w:rPr>
            </w:pPr>
            <w:r w:rsidRPr="00E31233">
              <w:rPr>
                <w:rFonts w:eastAsia="Calibri"/>
                <w:b/>
                <w:bCs/>
                <w:snapToGrid/>
                <w:szCs w:val="24"/>
              </w:rPr>
              <w:t xml:space="preserve">Reporting: </w:t>
            </w:r>
            <w:r w:rsidRPr="00E31233">
              <w:rPr>
                <w:rFonts w:eastAsia="Calibri"/>
                <w:snapToGrid/>
                <w:szCs w:val="24"/>
              </w:rPr>
              <w:t>The permittee shall report in accordance with Section B110.</w:t>
            </w:r>
          </w:p>
        </w:tc>
      </w:tr>
    </w:tbl>
    <w:p w:rsidR="00787FE2" w:rsidRDefault="00787FE2"/>
    <w:sectPr w:rsidR="00787FE2" w:rsidSect="00C6267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FE2" w:rsidRDefault="00787FE2">
      <w:r>
        <w:separator/>
      </w:r>
    </w:p>
  </w:endnote>
  <w:endnote w:type="continuationSeparator" w:id="0">
    <w:p w:rsidR="00787FE2" w:rsidRDefault="0078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FE2" w:rsidRDefault="00787FE2" w:rsidP="00600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87FE2" w:rsidRDefault="00787FE2" w:rsidP="00C626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233" w:rsidRDefault="00E31233" w:rsidP="00E31233">
    <w:pPr>
      <w:pStyle w:val="Header"/>
      <w:rPr>
        <w:rStyle w:val="PageNumber"/>
        <w:sz w:val="22"/>
        <w:szCs w:val="22"/>
      </w:rPr>
    </w:pPr>
    <w:r>
      <w:rPr>
        <w:sz w:val="22"/>
        <w:szCs w:val="22"/>
      </w:rPr>
      <w:t xml:space="preserve">Tanks &amp; Loading Monitoring Protocol                                                                                        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rStyle w:val="PageNumber"/>
        <w:sz w:val="22"/>
        <w:szCs w:val="22"/>
      </w:rPr>
      <w:t xml:space="preserve"> of </w:t>
    </w:r>
    <w:r>
      <w:rPr>
        <w:rStyle w:val="PageNumber"/>
        <w:sz w:val="22"/>
        <w:szCs w:val="22"/>
      </w:rPr>
      <w:fldChar w:fldCharType="begin"/>
    </w:r>
    <w:r>
      <w:rPr>
        <w:rStyle w:val="PageNumber"/>
        <w:sz w:val="22"/>
        <w:szCs w:val="22"/>
      </w:rPr>
      <w:instrText xml:space="preserve"> NUMPAGES </w:instrText>
    </w:r>
    <w:r>
      <w:rPr>
        <w:rStyle w:val="PageNumber"/>
        <w:sz w:val="22"/>
        <w:szCs w:val="22"/>
      </w:rPr>
      <w:fldChar w:fldCharType="separate"/>
    </w:r>
    <w:r>
      <w:rPr>
        <w:rStyle w:val="PageNumber"/>
        <w:noProof/>
        <w:sz w:val="22"/>
        <w:szCs w:val="22"/>
      </w:rPr>
      <w:t>4</w:t>
    </w:r>
    <w:r>
      <w:rPr>
        <w:rStyle w:val="PageNumber"/>
        <w:sz w:val="22"/>
        <w:szCs w:val="22"/>
      </w:rPr>
      <w:fldChar w:fldCharType="end"/>
    </w:r>
  </w:p>
  <w:p w:rsidR="00787FE2" w:rsidRPr="00E31233" w:rsidRDefault="00787FE2" w:rsidP="00E31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FE2" w:rsidRDefault="00787FE2">
      <w:r>
        <w:separator/>
      </w:r>
    </w:p>
  </w:footnote>
  <w:footnote w:type="continuationSeparator" w:id="0">
    <w:p w:rsidR="00787FE2" w:rsidRDefault="00787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B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412F39"/>
    <w:multiLevelType w:val="multilevel"/>
    <w:tmpl w:val="DCCAB5E0"/>
    <w:lvl w:ilvl="0">
      <w:start w:val="100"/>
      <w:numFmt w:val="decimal"/>
      <w:pStyle w:val="Heading2"/>
      <w:isLgl/>
      <w:lvlText w:val="%1"/>
      <w:lvlJc w:val="left"/>
      <w:pPr>
        <w:tabs>
          <w:tab w:val="num" w:pos="0"/>
        </w:tabs>
        <w:ind w:left="0" w:firstLine="0"/>
      </w:pPr>
      <w:rPr>
        <w:rFonts w:hint="default"/>
        <w:u w:val="none"/>
      </w:rPr>
    </w:lvl>
    <w:lvl w:ilvl="1">
      <w:start w:val="1"/>
      <w:numFmt w:val="decimal"/>
      <w:pStyle w:val="Heading3"/>
      <w:lvlText w:val="220.%2"/>
      <w:lvlJc w:val="left"/>
      <w:pPr>
        <w:tabs>
          <w:tab w:val="num" w:pos="1080"/>
        </w:tabs>
        <w:ind w:left="720" w:hanging="720"/>
      </w:pPr>
      <w:rPr>
        <w:rFonts w:hint="default"/>
      </w:rPr>
    </w:lvl>
    <w:lvl w:ilvl="2">
      <w:start w:val="1"/>
      <w:numFmt w:val="decimal"/>
      <w:pStyle w:val="StyleHeading3Before1line1"/>
      <w:lvlText w:val="%1.%3"/>
      <w:lvlJc w:val="left"/>
      <w:pPr>
        <w:tabs>
          <w:tab w:val="num" w:pos="1080"/>
        </w:tabs>
        <w:ind w:left="1080" w:hanging="10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FAE66B1"/>
    <w:multiLevelType w:val="multilevel"/>
    <w:tmpl w:val="FFC28398"/>
    <w:lvl w:ilvl="0">
      <w:start w:val="200"/>
      <w:numFmt w:val="decimal"/>
      <w:isLgl/>
      <w:lvlText w:val="%1"/>
      <w:lvlJc w:val="left"/>
      <w:pPr>
        <w:tabs>
          <w:tab w:val="num" w:pos="0"/>
        </w:tabs>
        <w:ind w:left="0" w:firstLine="0"/>
      </w:pPr>
      <w:rPr>
        <w:rFonts w:hint="default"/>
        <w:u w:val="none"/>
      </w:rPr>
    </w:lvl>
    <w:lvl w:ilvl="1">
      <w:start w:val="1"/>
      <w:numFmt w:val="decimal"/>
      <w:lvlText w:val="%1.%2"/>
      <w:lvlJc w:val="left"/>
      <w:pPr>
        <w:tabs>
          <w:tab w:val="num" w:pos="1080"/>
        </w:tabs>
        <w:ind w:left="720" w:hanging="720"/>
      </w:pPr>
      <w:rPr>
        <w:rFonts w:hint="default"/>
      </w:rPr>
    </w:lvl>
    <w:lvl w:ilvl="2">
      <w:start w:val="1"/>
      <w:numFmt w:val="decimal"/>
      <w:lvlText w:val="%1.%3"/>
      <w:lvlJc w:val="left"/>
      <w:pPr>
        <w:tabs>
          <w:tab w:val="num" w:pos="1080"/>
        </w:tabs>
        <w:ind w:left="1080" w:hanging="10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17A1F82"/>
    <w:multiLevelType w:val="singleLevel"/>
    <w:tmpl w:val="4D1C8756"/>
    <w:lvl w:ilvl="0">
      <w:start w:val="1"/>
      <w:numFmt w:val="lowerLetter"/>
      <w:pStyle w:val="ConditionIndent"/>
      <w:lvlText w:val="%1."/>
      <w:lvlJc w:val="left"/>
      <w:pPr>
        <w:tabs>
          <w:tab w:val="num" w:pos="1440"/>
        </w:tabs>
        <w:ind w:left="1440" w:hanging="720"/>
      </w:pPr>
      <w:rPr>
        <w:rFonts w:hint="default"/>
      </w:rPr>
    </w:lvl>
  </w:abstractNum>
  <w:abstractNum w:abstractNumId="4" w15:restartNumberingAfterBreak="0">
    <w:nsid w:val="4E2B118D"/>
    <w:multiLevelType w:val="hybridMultilevel"/>
    <w:tmpl w:val="2FFE7CA8"/>
    <w:lvl w:ilvl="0" w:tplc="055A8DDA">
      <w:start w:val="1"/>
      <w:numFmt w:val="upperLetter"/>
      <w:pStyle w:val="AQBLvl-1Condition"/>
      <w:lvlText w:val="%1."/>
      <w:lvlJc w:val="left"/>
      <w:pPr>
        <w:tabs>
          <w:tab w:val="num" w:pos="936"/>
        </w:tabs>
        <w:ind w:left="936" w:hanging="576"/>
      </w:pPr>
      <w:rPr>
        <w:rFonts w:hint="default"/>
      </w:rPr>
    </w:lvl>
    <w:lvl w:ilvl="1" w:tplc="0409000F">
      <w:start w:val="1"/>
      <w:numFmt w:val="decimal"/>
      <w:pStyle w:val="AQBLvl-2Condition"/>
      <w:lvlText w:val="(%2)"/>
      <w:lvlJc w:val="right"/>
      <w:pPr>
        <w:tabs>
          <w:tab w:val="num" w:pos="1440"/>
        </w:tabs>
        <w:ind w:left="1440" w:hanging="360"/>
      </w:pPr>
      <w:rPr>
        <w:rFonts w:hint="default"/>
      </w:rPr>
    </w:lvl>
    <w:lvl w:ilvl="2" w:tplc="0409001B">
      <w:start w:val="1"/>
      <w:numFmt w:val="lowerLetter"/>
      <w:pStyle w:val="AQBLvl-3Condition"/>
      <w:lvlText w:val="(%3)"/>
      <w:lvlJc w:val="left"/>
      <w:pPr>
        <w:tabs>
          <w:tab w:val="num" w:pos="2160"/>
        </w:tabs>
        <w:ind w:left="2160" w:hanging="720"/>
      </w:pPr>
      <w:rPr>
        <w:rFonts w:hint="default"/>
      </w:rPr>
    </w:lvl>
    <w:lvl w:ilvl="3" w:tplc="0409000F">
      <w:start w:val="1"/>
      <w:numFmt w:val="lowerRoman"/>
      <w:pStyle w:val="AQBLvl-4Conditio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3E47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4"/>
    <w:lvlOverride w:ilvl="0">
      <w:startOverride w:val="1"/>
    </w:lvlOverride>
  </w:num>
  <w:num w:numId="3">
    <w:abstractNumId w:val="1"/>
  </w:num>
  <w:num w:numId="4">
    <w:abstractNumId w:val="2"/>
  </w:num>
  <w:num w:numId="5">
    <w:abstractNumId w:val="3"/>
  </w:num>
  <w:num w:numId="6">
    <w:abstractNumId w:val="5"/>
  </w:num>
  <w:num w:numId="7">
    <w:abstractNumId w:val="0"/>
  </w:num>
  <w:num w:numId="8">
    <w:abstractNumId w:val="3"/>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38"/>
    <w:rsid w:val="00002841"/>
    <w:rsid w:val="00002B85"/>
    <w:rsid w:val="00003AF0"/>
    <w:rsid w:val="0000463E"/>
    <w:rsid w:val="00004D85"/>
    <w:rsid w:val="00006764"/>
    <w:rsid w:val="00007FE0"/>
    <w:rsid w:val="00010572"/>
    <w:rsid w:val="0001167F"/>
    <w:rsid w:val="00012E72"/>
    <w:rsid w:val="00014DD0"/>
    <w:rsid w:val="00014E0A"/>
    <w:rsid w:val="00016E21"/>
    <w:rsid w:val="00017112"/>
    <w:rsid w:val="00020146"/>
    <w:rsid w:val="00020837"/>
    <w:rsid w:val="0002190B"/>
    <w:rsid w:val="00022289"/>
    <w:rsid w:val="000224C8"/>
    <w:rsid w:val="00022EEF"/>
    <w:rsid w:val="00022F45"/>
    <w:rsid w:val="000244E1"/>
    <w:rsid w:val="00024F61"/>
    <w:rsid w:val="00025775"/>
    <w:rsid w:val="00027234"/>
    <w:rsid w:val="000307E2"/>
    <w:rsid w:val="00031EBF"/>
    <w:rsid w:val="00033950"/>
    <w:rsid w:val="00034DF7"/>
    <w:rsid w:val="000357E2"/>
    <w:rsid w:val="00035D0C"/>
    <w:rsid w:val="000367AC"/>
    <w:rsid w:val="00037797"/>
    <w:rsid w:val="00041A5C"/>
    <w:rsid w:val="00043E37"/>
    <w:rsid w:val="000446A3"/>
    <w:rsid w:val="0004615C"/>
    <w:rsid w:val="00046537"/>
    <w:rsid w:val="00047AD5"/>
    <w:rsid w:val="00047B0E"/>
    <w:rsid w:val="000509F0"/>
    <w:rsid w:val="00050E5C"/>
    <w:rsid w:val="00051971"/>
    <w:rsid w:val="00052E43"/>
    <w:rsid w:val="00057872"/>
    <w:rsid w:val="00057DB7"/>
    <w:rsid w:val="00060866"/>
    <w:rsid w:val="00062C55"/>
    <w:rsid w:val="00063C29"/>
    <w:rsid w:val="0006480C"/>
    <w:rsid w:val="000674A9"/>
    <w:rsid w:val="00067BAA"/>
    <w:rsid w:val="0007077E"/>
    <w:rsid w:val="000709C6"/>
    <w:rsid w:val="000713E4"/>
    <w:rsid w:val="00071CF4"/>
    <w:rsid w:val="000724C3"/>
    <w:rsid w:val="0007385E"/>
    <w:rsid w:val="00074B28"/>
    <w:rsid w:val="00075A90"/>
    <w:rsid w:val="00076B8F"/>
    <w:rsid w:val="00076DEB"/>
    <w:rsid w:val="000773B6"/>
    <w:rsid w:val="00077653"/>
    <w:rsid w:val="00080B4D"/>
    <w:rsid w:val="00081B77"/>
    <w:rsid w:val="00082AFF"/>
    <w:rsid w:val="000835EA"/>
    <w:rsid w:val="00083DFB"/>
    <w:rsid w:val="000842EE"/>
    <w:rsid w:val="00084937"/>
    <w:rsid w:val="00085C37"/>
    <w:rsid w:val="00086717"/>
    <w:rsid w:val="0009296D"/>
    <w:rsid w:val="00096CE5"/>
    <w:rsid w:val="000A27DC"/>
    <w:rsid w:val="000A2810"/>
    <w:rsid w:val="000A6A1E"/>
    <w:rsid w:val="000A7986"/>
    <w:rsid w:val="000B2ADF"/>
    <w:rsid w:val="000B479F"/>
    <w:rsid w:val="000B4DB4"/>
    <w:rsid w:val="000B53B7"/>
    <w:rsid w:val="000B74D6"/>
    <w:rsid w:val="000B7560"/>
    <w:rsid w:val="000B792E"/>
    <w:rsid w:val="000C2BF0"/>
    <w:rsid w:val="000C2FD3"/>
    <w:rsid w:val="000C5EB6"/>
    <w:rsid w:val="000C6556"/>
    <w:rsid w:val="000C68AA"/>
    <w:rsid w:val="000C770A"/>
    <w:rsid w:val="000D08BE"/>
    <w:rsid w:val="000D0961"/>
    <w:rsid w:val="000D10C8"/>
    <w:rsid w:val="000D1649"/>
    <w:rsid w:val="000D1963"/>
    <w:rsid w:val="000D37EA"/>
    <w:rsid w:val="000D3E30"/>
    <w:rsid w:val="000D40E7"/>
    <w:rsid w:val="000D54E6"/>
    <w:rsid w:val="000D668D"/>
    <w:rsid w:val="000D6B64"/>
    <w:rsid w:val="000D6C6C"/>
    <w:rsid w:val="000E01AA"/>
    <w:rsid w:val="000E1489"/>
    <w:rsid w:val="000E1A9D"/>
    <w:rsid w:val="000E1B0F"/>
    <w:rsid w:val="000E201E"/>
    <w:rsid w:val="000E30DA"/>
    <w:rsid w:val="000E44FA"/>
    <w:rsid w:val="000E618F"/>
    <w:rsid w:val="000E640B"/>
    <w:rsid w:val="000F0714"/>
    <w:rsid w:val="000F1A7D"/>
    <w:rsid w:val="000F1E1F"/>
    <w:rsid w:val="000F4EA7"/>
    <w:rsid w:val="000F5A31"/>
    <w:rsid w:val="000F626A"/>
    <w:rsid w:val="0010171F"/>
    <w:rsid w:val="00103166"/>
    <w:rsid w:val="00105806"/>
    <w:rsid w:val="00106D30"/>
    <w:rsid w:val="0010738F"/>
    <w:rsid w:val="00107A50"/>
    <w:rsid w:val="00107B95"/>
    <w:rsid w:val="00107D2B"/>
    <w:rsid w:val="00107F68"/>
    <w:rsid w:val="00111309"/>
    <w:rsid w:val="00111AF2"/>
    <w:rsid w:val="00112961"/>
    <w:rsid w:val="00113A5F"/>
    <w:rsid w:val="00114AAC"/>
    <w:rsid w:val="00114ADD"/>
    <w:rsid w:val="00115E54"/>
    <w:rsid w:val="00117A96"/>
    <w:rsid w:val="00123753"/>
    <w:rsid w:val="001243F4"/>
    <w:rsid w:val="001244C4"/>
    <w:rsid w:val="00126465"/>
    <w:rsid w:val="00126B9C"/>
    <w:rsid w:val="00126D83"/>
    <w:rsid w:val="0012765E"/>
    <w:rsid w:val="0012790C"/>
    <w:rsid w:val="00130B89"/>
    <w:rsid w:val="00131B00"/>
    <w:rsid w:val="00131FF9"/>
    <w:rsid w:val="001363A2"/>
    <w:rsid w:val="001377F1"/>
    <w:rsid w:val="0014121F"/>
    <w:rsid w:val="00145591"/>
    <w:rsid w:val="00146BBC"/>
    <w:rsid w:val="00154600"/>
    <w:rsid w:val="00154783"/>
    <w:rsid w:val="001550CF"/>
    <w:rsid w:val="00156B8A"/>
    <w:rsid w:val="0016261E"/>
    <w:rsid w:val="00162CB5"/>
    <w:rsid w:val="0016349A"/>
    <w:rsid w:val="00164082"/>
    <w:rsid w:val="00166619"/>
    <w:rsid w:val="001710F5"/>
    <w:rsid w:val="0017265A"/>
    <w:rsid w:val="00176FF5"/>
    <w:rsid w:val="001774F1"/>
    <w:rsid w:val="00177E37"/>
    <w:rsid w:val="00177FEA"/>
    <w:rsid w:val="001807CD"/>
    <w:rsid w:val="00180BC4"/>
    <w:rsid w:val="001826F9"/>
    <w:rsid w:val="00183A83"/>
    <w:rsid w:val="001859FC"/>
    <w:rsid w:val="00186CFF"/>
    <w:rsid w:val="00186DCB"/>
    <w:rsid w:val="001871AC"/>
    <w:rsid w:val="00187C3A"/>
    <w:rsid w:val="00190739"/>
    <w:rsid w:val="00192BC8"/>
    <w:rsid w:val="0019367A"/>
    <w:rsid w:val="00195D5C"/>
    <w:rsid w:val="001A285F"/>
    <w:rsid w:val="001A2D19"/>
    <w:rsid w:val="001A398C"/>
    <w:rsid w:val="001A5009"/>
    <w:rsid w:val="001A65DD"/>
    <w:rsid w:val="001A6FF6"/>
    <w:rsid w:val="001B0973"/>
    <w:rsid w:val="001B1091"/>
    <w:rsid w:val="001B2550"/>
    <w:rsid w:val="001B3B49"/>
    <w:rsid w:val="001B3C1E"/>
    <w:rsid w:val="001B5CBF"/>
    <w:rsid w:val="001B61B9"/>
    <w:rsid w:val="001B6DBA"/>
    <w:rsid w:val="001B7687"/>
    <w:rsid w:val="001C0D7F"/>
    <w:rsid w:val="001C1014"/>
    <w:rsid w:val="001C1185"/>
    <w:rsid w:val="001C1943"/>
    <w:rsid w:val="001C2F1F"/>
    <w:rsid w:val="001C5860"/>
    <w:rsid w:val="001D17AE"/>
    <w:rsid w:val="001D1C9E"/>
    <w:rsid w:val="001D2722"/>
    <w:rsid w:val="001D3BAF"/>
    <w:rsid w:val="001D531F"/>
    <w:rsid w:val="001E0D4A"/>
    <w:rsid w:val="001E156A"/>
    <w:rsid w:val="001E1DB4"/>
    <w:rsid w:val="001E2A34"/>
    <w:rsid w:val="001E2BDC"/>
    <w:rsid w:val="001E3528"/>
    <w:rsid w:val="001E4336"/>
    <w:rsid w:val="001E69B7"/>
    <w:rsid w:val="001E7A12"/>
    <w:rsid w:val="001F147F"/>
    <w:rsid w:val="001F2213"/>
    <w:rsid w:val="001F3344"/>
    <w:rsid w:val="001F39E8"/>
    <w:rsid w:val="001F44C9"/>
    <w:rsid w:val="001F6390"/>
    <w:rsid w:val="001F658F"/>
    <w:rsid w:val="001F74AC"/>
    <w:rsid w:val="00200BBE"/>
    <w:rsid w:val="00200E06"/>
    <w:rsid w:val="002019A9"/>
    <w:rsid w:val="0020230A"/>
    <w:rsid w:val="0020268C"/>
    <w:rsid w:val="00205387"/>
    <w:rsid w:val="00205DF9"/>
    <w:rsid w:val="00206323"/>
    <w:rsid w:val="00207C0E"/>
    <w:rsid w:val="00210286"/>
    <w:rsid w:val="002111E2"/>
    <w:rsid w:val="00211CB1"/>
    <w:rsid w:val="00211F94"/>
    <w:rsid w:val="00212730"/>
    <w:rsid w:val="00213701"/>
    <w:rsid w:val="00215F6F"/>
    <w:rsid w:val="00220113"/>
    <w:rsid w:val="00223E44"/>
    <w:rsid w:val="00223F93"/>
    <w:rsid w:val="002305C0"/>
    <w:rsid w:val="00231F6A"/>
    <w:rsid w:val="00232556"/>
    <w:rsid w:val="002325E5"/>
    <w:rsid w:val="002335BF"/>
    <w:rsid w:val="002337AB"/>
    <w:rsid w:val="00242CCB"/>
    <w:rsid w:val="002433D0"/>
    <w:rsid w:val="0024410B"/>
    <w:rsid w:val="00245237"/>
    <w:rsid w:val="00245755"/>
    <w:rsid w:val="00247749"/>
    <w:rsid w:val="00247B24"/>
    <w:rsid w:val="00252F88"/>
    <w:rsid w:val="002531E8"/>
    <w:rsid w:val="002541AF"/>
    <w:rsid w:val="00256557"/>
    <w:rsid w:val="00256763"/>
    <w:rsid w:val="00257399"/>
    <w:rsid w:val="00260345"/>
    <w:rsid w:val="002613C7"/>
    <w:rsid w:val="002618B2"/>
    <w:rsid w:val="00263B61"/>
    <w:rsid w:val="00263DF0"/>
    <w:rsid w:val="00264A9B"/>
    <w:rsid w:val="00264B2D"/>
    <w:rsid w:val="00265CBF"/>
    <w:rsid w:val="002668EE"/>
    <w:rsid w:val="00266ABA"/>
    <w:rsid w:val="00267BE7"/>
    <w:rsid w:val="0027064D"/>
    <w:rsid w:val="002706CC"/>
    <w:rsid w:val="00273DB0"/>
    <w:rsid w:val="00276D6D"/>
    <w:rsid w:val="00276EF8"/>
    <w:rsid w:val="0027747E"/>
    <w:rsid w:val="0027791F"/>
    <w:rsid w:val="00281936"/>
    <w:rsid w:val="00282158"/>
    <w:rsid w:val="00282D46"/>
    <w:rsid w:val="00285C7D"/>
    <w:rsid w:val="00286A0C"/>
    <w:rsid w:val="00286FAF"/>
    <w:rsid w:val="00290C12"/>
    <w:rsid w:val="00291544"/>
    <w:rsid w:val="002920A6"/>
    <w:rsid w:val="00294A37"/>
    <w:rsid w:val="002952C7"/>
    <w:rsid w:val="00295E32"/>
    <w:rsid w:val="002969FB"/>
    <w:rsid w:val="002A02AB"/>
    <w:rsid w:val="002A14CA"/>
    <w:rsid w:val="002A18FB"/>
    <w:rsid w:val="002A2995"/>
    <w:rsid w:val="002A397C"/>
    <w:rsid w:val="002A4499"/>
    <w:rsid w:val="002A4E18"/>
    <w:rsid w:val="002A54D7"/>
    <w:rsid w:val="002A618C"/>
    <w:rsid w:val="002A6884"/>
    <w:rsid w:val="002A6B63"/>
    <w:rsid w:val="002A72D0"/>
    <w:rsid w:val="002A7778"/>
    <w:rsid w:val="002A794B"/>
    <w:rsid w:val="002B32BA"/>
    <w:rsid w:val="002B3BCE"/>
    <w:rsid w:val="002B547F"/>
    <w:rsid w:val="002B5F85"/>
    <w:rsid w:val="002B7E68"/>
    <w:rsid w:val="002B7F9A"/>
    <w:rsid w:val="002C2CA6"/>
    <w:rsid w:val="002C2F7D"/>
    <w:rsid w:val="002C55FC"/>
    <w:rsid w:val="002C632E"/>
    <w:rsid w:val="002C6DA2"/>
    <w:rsid w:val="002C7D7C"/>
    <w:rsid w:val="002D0594"/>
    <w:rsid w:val="002D0F63"/>
    <w:rsid w:val="002D156D"/>
    <w:rsid w:val="002D1DD2"/>
    <w:rsid w:val="002D2D0C"/>
    <w:rsid w:val="002D3420"/>
    <w:rsid w:val="002D7E2D"/>
    <w:rsid w:val="002D7E90"/>
    <w:rsid w:val="002E47EB"/>
    <w:rsid w:val="002E4805"/>
    <w:rsid w:val="002E511F"/>
    <w:rsid w:val="002E7A6E"/>
    <w:rsid w:val="002F0C1F"/>
    <w:rsid w:val="002F0FF9"/>
    <w:rsid w:val="002F1E96"/>
    <w:rsid w:val="002F2B4F"/>
    <w:rsid w:val="002F2C96"/>
    <w:rsid w:val="002F2CAE"/>
    <w:rsid w:val="002F30AF"/>
    <w:rsid w:val="002F4D95"/>
    <w:rsid w:val="002F6ED6"/>
    <w:rsid w:val="00300992"/>
    <w:rsid w:val="00302C3D"/>
    <w:rsid w:val="00303268"/>
    <w:rsid w:val="00303F97"/>
    <w:rsid w:val="00304310"/>
    <w:rsid w:val="00304BD5"/>
    <w:rsid w:val="003112B2"/>
    <w:rsid w:val="00314BBC"/>
    <w:rsid w:val="003168DB"/>
    <w:rsid w:val="0032296E"/>
    <w:rsid w:val="003243F3"/>
    <w:rsid w:val="00324C51"/>
    <w:rsid w:val="00324E49"/>
    <w:rsid w:val="00325A65"/>
    <w:rsid w:val="00326F1A"/>
    <w:rsid w:val="003303F6"/>
    <w:rsid w:val="00330492"/>
    <w:rsid w:val="00331608"/>
    <w:rsid w:val="00332B46"/>
    <w:rsid w:val="00334950"/>
    <w:rsid w:val="00334ADF"/>
    <w:rsid w:val="0033526D"/>
    <w:rsid w:val="003358BB"/>
    <w:rsid w:val="00340362"/>
    <w:rsid w:val="00341FBF"/>
    <w:rsid w:val="00342C57"/>
    <w:rsid w:val="00345940"/>
    <w:rsid w:val="0035034B"/>
    <w:rsid w:val="00350F3E"/>
    <w:rsid w:val="00351C55"/>
    <w:rsid w:val="003531BB"/>
    <w:rsid w:val="0035553C"/>
    <w:rsid w:val="003574D1"/>
    <w:rsid w:val="00357776"/>
    <w:rsid w:val="003577AE"/>
    <w:rsid w:val="003578E6"/>
    <w:rsid w:val="00357DCC"/>
    <w:rsid w:val="00361557"/>
    <w:rsid w:val="00362EE8"/>
    <w:rsid w:val="00363345"/>
    <w:rsid w:val="00363C77"/>
    <w:rsid w:val="00364B2F"/>
    <w:rsid w:val="00371A5E"/>
    <w:rsid w:val="00371E1A"/>
    <w:rsid w:val="00374DD1"/>
    <w:rsid w:val="003807D7"/>
    <w:rsid w:val="003827B6"/>
    <w:rsid w:val="003846D6"/>
    <w:rsid w:val="00386397"/>
    <w:rsid w:val="003871B2"/>
    <w:rsid w:val="00387584"/>
    <w:rsid w:val="0039593C"/>
    <w:rsid w:val="003963FA"/>
    <w:rsid w:val="003A00CE"/>
    <w:rsid w:val="003A0AAF"/>
    <w:rsid w:val="003A0EDB"/>
    <w:rsid w:val="003A235F"/>
    <w:rsid w:val="003A43E6"/>
    <w:rsid w:val="003A5E78"/>
    <w:rsid w:val="003A6CE7"/>
    <w:rsid w:val="003A750F"/>
    <w:rsid w:val="003B1096"/>
    <w:rsid w:val="003B473A"/>
    <w:rsid w:val="003B5AA3"/>
    <w:rsid w:val="003B66E8"/>
    <w:rsid w:val="003C16FB"/>
    <w:rsid w:val="003C185D"/>
    <w:rsid w:val="003C1B0D"/>
    <w:rsid w:val="003C1C0D"/>
    <w:rsid w:val="003C4A7D"/>
    <w:rsid w:val="003C5008"/>
    <w:rsid w:val="003C56ED"/>
    <w:rsid w:val="003C632F"/>
    <w:rsid w:val="003C662B"/>
    <w:rsid w:val="003C75E4"/>
    <w:rsid w:val="003C7678"/>
    <w:rsid w:val="003C77F6"/>
    <w:rsid w:val="003C78FD"/>
    <w:rsid w:val="003D3C1C"/>
    <w:rsid w:val="003D4400"/>
    <w:rsid w:val="003D491F"/>
    <w:rsid w:val="003D5868"/>
    <w:rsid w:val="003D5BF9"/>
    <w:rsid w:val="003D5E05"/>
    <w:rsid w:val="003D71AE"/>
    <w:rsid w:val="003D7523"/>
    <w:rsid w:val="003D757C"/>
    <w:rsid w:val="003D7DA8"/>
    <w:rsid w:val="003E03E8"/>
    <w:rsid w:val="003E1422"/>
    <w:rsid w:val="003E37D8"/>
    <w:rsid w:val="003E395D"/>
    <w:rsid w:val="003E46B3"/>
    <w:rsid w:val="003E534D"/>
    <w:rsid w:val="003E6302"/>
    <w:rsid w:val="003E6768"/>
    <w:rsid w:val="003E7185"/>
    <w:rsid w:val="003F173E"/>
    <w:rsid w:val="003F19EC"/>
    <w:rsid w:val="003F34A7"/>
    <w:rsid w:val="003F34CB"/>
    <w:rsid w:val="003F3626"/>
    <w:rsid w:val="003F401F"/>
    <w:rsid w:val="003F454C"/>
    <w:rsid w:val="003F5BAA"/>
    <w:rsid w:val="003F62B7"/>
    <w:rsid w:val="003F7F79"/>
    <w:rsid w:val="00402408"/>
    <w:rsid w:val="004040C9"/>
    <w:rsid w:val="004069BE"/>
    <w:rsid w:val="00406FFF"/>
    <w:rsid w:val="00407783"/>
    <w:rsid w:val="00407F7E"/>
    <w:rsid w:val="00410A4C"/>
    <w:rsid w:val="00411825"/>
    <w:rsid w:val="004129F1"/>
    <w:rsid w:val="00413027"/>
    <w:rsid w:val="0041344E"/>
    <w:rsid w:val="00413637"/>
    <w:rsid w:val="004136A5"/>
    <w:rsid w:val="00414766"/>
    <w:rsid w:val="00414EA9"/>
    <w:rsid w:val="004155B7"/>
    <w:rsid w:val="00415650"/>
    <w:rsid w:val="00416B2F"/>
    <w:rsid w:val="00420D9D"/>
    <w:rsid w:val="004211FE"/>
    <w:rsid w:val="0042228F"/>
    <w:rsid w:val="00425255"/>
    <w:rsid w:val="0042763A"/>
    <w:rsid w:val="00427848"/>
    <w:rsid w:val="00431AB4"/>
    <w:rsid w:val="00432108"/>
    <w:rsid w:val="004336E8"/>
    <w:rsid w:val="00436D35"/>
    <w:rsid w:val="0043759D"/>
    <w:rsid w:val="00444FC2"/>
    <w:rsid w:val="00445464"/>
    <w:rsid w:val="00445F34"/>
    <w:rsid w:val="004463D1"/>
    <w:rsid w:val="00446EBE"/>
    <w:rsid w:val="00451304"/>
    <w:rsid w:val="004528E9"/>
    <w:rsid w:val="00457C1E"/>
    <w:rsid w:val="00460065"/>
    <w:rsid w:val="00460B26"/>
    <w:rsid w:val="0046238B"/>
    <w:rsid w:val="0046357B"/>
    <w:rsid w:val="004640EC"/>
    <w:rsid w:val="00466055"/>
    <w:rsid w:val="00466719"/>
    <w:rsid w:val="00467316"/>
    <w:rsid w:val="00470C7C"/>
    <w:rsid w:val="00471893"/>
    <w:rsid w:val="0047301D"/>
    <w:rsid w:val="004733F8"/>
    <w:rsid w:val="00473EBD"/>
    <w:rsid w:val="004751B5"/>
    <w:rsid w:val="00476B9E"/>
    <w:rsid w:val="00481487"/>
    <w:rsid w:val="00481B31"/>
    <w:rsid w:val="00481E88"/>
    <w:rsid w:val="004822B6"/>
    <w:rsid w:val="004825FA"/>
    <w:rsid w:val="00483B2B"/>
    <w:rsid w:val="00483C70"/>
    <w:rsid w:val="00484672"/>
    <w:rsid w:val="004850D8"/>
    <w:rsid w:val="00485C9E"/>
    <w:rsid w:val="00485DCA"/>
    <w:rsid w:val="00486A4F"/>
    <w:rsid w:val="0048745F"/>
    <w:rsid w:val="00490EE5"/>
    <w:rsid w:val="004923E3"/>
    <w:rsid w:val="004937C4"/>
    <w:rsid w:val="004953F8"/>
    <w:rsid w:val="00495B28"/>
    <w:rsid w:val="004962C4"/>
    <w:rsid w:val="004A20CE"/>
    <w:rsid w:val="004A5510"/>
    <w:rsid w:val="004A7C0F"/>
    <w:rsid w:val="004B22F2"/>
    <w:rsid w:val="004B3CA5"/>
    <w:rsid w:val="004B598C"/>
    <w:rsid w:val="004B6834"/>
    <w:rsid w:val="004B6965"/>
    <w:rsid w:val="004C7D1D"/>
    <w:rsid w:val="004D0F22"/>
    <w:rsid w:val="004D1FC0"/>
    <w:rsid w:val="004D2D4C"/>
    <w:rsid w:val="004D3F03"/>
    <w:rsid w:val="004D42A8"/>
    <w:rsid w:val="004D5040"/>
    <w:rsid w:val="004D53D8"/>
    <w:rsid w:val="004D6628"/>
    <w:rsid w:val="004D7B3A"/>
    <w:rsid w:val="004E0D90"/>
    <w:rsid w:val="004E2252"/>
    <w:rsid w:val="004E25A8"/>
    <w:rsid w:val="004E3A77"/>
    <w:rsid w:val="004E4542"/>
    <w:rsid w:val="004E536D"/>
    <w:rsid w:val="004E5B85"/>
    <w:rsid w:val="004E6B99"/>
    <w:rsid w:val="004F3717"/>
    <w:rsid w:val="004F377E"/>
    <w:rsid w:val="004F38B9"/>
    <w:rsid w:val="00500C9F"/>
    <w:rsid w:val="005023BF"/>
    <w:rsid w:val="005044BD"/>
    <w:rsid w:val="005045E7"/>
    <w:rsid w:val="00506BC8"/>
    <w:rsid w:val="005101CD"/>
    <w:rsid w:val="00511B7E"/>
    <w:rsid w:val="00512861"/>
    <w:rsid w:val="00513C33"/>
    <w:rsid w:val="00513D6D"/>
    <w:rsid w:val="00513DC9"/>
    <w:rsid w:val="00515217"/>
    <w:rsid w:val="00515851"/>
    <w:rsid w:val="00515A46"/>
    <w:rsid w:val="005164CE"/>
    <w:rsid w:val="00516689"/>
    <w:rsid w:val="00524AA3"/>
    <w:rsid w:val="005276EC"/>
    <w:rsid w:val="00527858"/>
    <w:rsid w:val="00527B85"/>
    <w:rsid w:val="0053087E"/>
    <w:rsid w:val="00530E06"/>
    <w:rsid w:val="00537231"/>
    <w:rsid w:val="005374A3"/>
    <w:rsid w:val="00537541"/>
    <w:rsid w:val="00541E32"/>
    <w:rsid w:val="00547DE6"/>
    <w:rsid w:val="005508C5"/>
    <w:rsid w:val="00552317"/>
    <w:rsid w:val="005541D4"/>
    <w:rsid w:val="005541FA"/>
    <w:rsid w:val="0055678F"/>
    <w:rsid w:val="00562261"/>
    <w:rsid w:val="0056267F"/>
    <w:rsid w:val="005627BD"/>
    <w:rsid w:val="00562E56"/>
    <w:rsid w:val="00564F54"/>
    <w:rsid w:val="0056673F"/>
    <w:rsid w:val="00567DFE"/>
    <w:rsid w:val="0057244D"/>
    <w:rsid w:val="00573AA0"/>
    <w:rsid w:val="00573DE6"/>
    <w:rsid w:val="005740B9"/>
    <w:rsid w:val="0057415C"/>
    <w:rsid w:val="0057446F"/>
    <w:rsid w:val="005768B8"/>
    <w:rsid w:val="00577822"/>
    <w:rsid w:val="005807B1"/>
    <w:rsid w:val="00581AC3"/>
    <w:rsid w:val="005830D4"/>
    <w:rsid w:val="00583603"/>
    <w:rsid w:val="0058551A"/>
    <w:rsid w:val="00586331"/>
    <w:rsid w:val="00586646"/>
    <w:rsid w:val="00587898"/>
    <w:rsid w:val="005900C5"/>
    <w:rsid w:val="0059020A"/>
    <w:rsid w:val="0059164B"/>
    <w:rsid w:val="00594FBC"/>
    <w:rsid w:val="005A0D27"/>
    <w:rsid w:val="005A51B3"/>
    <w:rsid w:val="005A636D"/>
    <w:rsid w:val="005B0673"/>
    <w:rsid w:val="005B142A"/>
    <w:rsid w:val="005B1CE7"/>
    <w:rsid w:val="005B2D11"/>
    <w:rsid w:val="005B34B6"/>
    <w:rsid w:val="005B4320"/>
    <w:rsid w:val="005B5015"/>
    <w:rsid w:val="005B5240"/>
    <w:rsid w:val="005B614E"/>
    <w:rsid w:val="005B61E2"/>
    <w:rsid w:val="005B6A76"/>
    <w:rsid w:val="005C03E9"/>
    <w:rsid w:val="005C2138"/>
    <w:rsid w:val="005C25A3"/>
    <w:rsid w:val="005C363B"/>
    <w:rsid w:val="005C4A62"/>
    <w:rsid w:val="005C654B"/>
    <w:rsid w:val="005C654F"/>
    <w:rsid w:val="005C7B93"/>
    <w:rsid w:val="005D15D0"/>
    <w:rsid w:val="005D3006"/>
    <w:rsid w:val="005D3978"/>
    <w:rsid w:val="005D5CDB"/>
    <w:rsid w:val="005D67D3"/>
    <w:rsid w:val="005D684F"/>
    <w:rsid w:val="005D6B71"/>
    <w:rsid w:val="005E084B"/>
    <w:rsid w:val="005E18D2"/>
    <w:rsid w:val="005E2223"/>
    <w:rsid w:val="005E302F"/>
    <w:rsid w:val="005E3D81"/>
    <w:rsid w:val="005E40C4"/>
    <w:rsid w:val="005E5C10"/>
    <w:rsid w:val="005F0522"/>
    <w:rsid w:val="005F49AD"/>
    <w:rsid w:val="005F7C16"/>
    <w:rsid w:val="00600079"/>
    <w:rsid w:val="00600F20"/>
    <w:rsid w:val="006010E5"/>
    <w:rsid w:val="00602304"/>
    <w:rsid w:val="00602FBF"/>
    <w:rsid w:val="0060308A"/>
    <w:rsid w:val="006035FC"/>
    <w:rsid w:val="006040D4"/>
    <w:rsid w:val="00605411"/>
    <w:rsid w:val="00605DDF"/>
    <w:rsid w:val="00606021"/>
    <w:rsid w:val="006068F1"/>
    <w:rsid w:val="006072FD"/>
    <w:rsid w:val="0060793A"/>
    <w:rsid w:val="0061000D"/>
    <w:rsid w:val="00610969"/>
    <w:rsid w:val="00613AA6"/>
    <w:rsid w:val="006156E4"/>
    <w:rsid w:val="00616194"/>
    <w:rsid w:val="00616270"/>
    <w:rsid w:val="00617A7B"/>
    <w:rsid w:val="0062299D"/>
    <w:rsid w:val="00622BFA"/>
    <w:rsid w:val="00622F6F"/>
    <w:rsid w:val="00625CFD"/>
    <w:rsid w:val="00626ECB"/>
    <w:rsid w:val="00630F74"/>
    <w:rsid w:val="00632F25"/>
    <w:rsid w:val="00633702"/>
    <w:rsid w:val="00634A97"/>
    <w:rsid w:val="00641598"/>
    <w:rsid w:val="006418BF"/>
    <w:rsid w:val="006447EB"/>
    <w:rsid w:val="00645784"/>
    <w:rsid w:val="00645C37"/>
    <w:rsid w:val="006468C4"/>
    <w:rsid w:val="0065026E"/>
    <w:rsid w:val="00652CDB"/>
    <w:rsid w:val="00656C99"/>
    <w:rsid w:val="00657876"/>
    <w:rsid w:val="0066016F"/>
    <w:rsid w:val="00660B76"/>
    <w:rsid w:val="00661C68"/>
    <w:rsid w:val="00665FE5"/>
    <w:rsid w:val="0066674C"/>
    <w:rsid w:val="00667568"/>
    <w:rsid w:val="00667942"/>
    <w:rsid w:val="006703DB"/>
    <w:rsid w:val="00670D0A"/>
    <w:rsid w:val="006710F9"/>
    <w:rsid w:val="0067121D"/>
    <w:rsid w:val="00672AAE"/>
    <w:rsid w:val="0067423A"/>
    <w:rsid w:val="00675A01"/>
    <w:rsid w:val="0067654B"/>
    <w:rsid w:val="006814B8"/>
    <w:rsid w:val="00682621"/>
    <w:rsid w:val="00683048"/>
    <w:rsid w:val="0068358A"/>
    <w:rsid w:val="006846D7"/>
    <w:rsid w:val="006879CB"/>
    <w:rsid w:val="00687B23"/>
    <w:rsid w:val="00687FD4"/>
    <w:rsid w:val="00691142"/>
    <w:rsid w:val="0069133F"/>
    <w:rsid w:val="00691704"/>
    <w:rsid w:val="00694DFD"/>
    <w:rsid w:val="006A15BB"/>
    <w:rsid w:val="006A1AC7"/>
    <w:rsid w:val="006A55D1"/>
    <w:rsid w:val="006A791D"/>
    <w:rsid w:val="006B120B"/>
    <w:rsid w:val="006B3285"/>
    <w:rsid w:val="006B5E50"/>
    <w:rsid w:val="006B6AB4"/>
    <w:rsid w:val="006B6D5F"/>
    <w:rsid w:val="006C2E63"/>
    <w:rsid w:val="006C454E"/>
    <w:rsid w:val="006C48EC"/>
    <w:rsid w:val="006C49FA"/>
    <w:rsid w:val="006C6EAC"/>
    <w:rsid w:val="006C7494"/>
    <w:rsid w:val="006C7604"/>
    <w:rsid w:val="006C77E8"/>
    <w:rsid w:val="006C79CC"/>
    <w:rsid w:val="006D1FA8"/>
    <w:rsid w:val="006D2B7B"/>
    <w:rsid w:val="006D2E52"/>
    <w:rsid w:val="006D578B"/>
    <w:rsid w:val="006D6952"/>
    <w:rsid w:val="006D79E5"/>
    <w:rsid w:val="006D79F2"/>
    <w:rsid w:val="006D7A07"/>
    <w:rsid w:val="006E0F0D"/>
    <w:rsid w:val="006E1069"/>
    <w:rsid w:val="006E508E"/>
    <w:rsid w:val="006E54F9"/>
    <w:rsid w:val="006E7B10"/>
    <w:rsid w:val="006F0268"/>
    <w:rsid w:val="006F07EC"/>
    <w:rsid w:val="006F21C5"/>
    <w:rsid w:val="006F3B31"/>
    <w:rsid w:val="006F3B58"/>
    <w:rsid w:val="006F73E6"/>
    <w:rsid w:val="00700A51"/>
    <w:rsid w:val="00702A05"/>
    <w:rsid w:val="007047BC"/>
    <w:rsid w:val="007060AC"/>
    <w:rsid w:val="00707398"/>
    <w:rsid w:val="00707F66"/>
    <w:rsid w:val="0071030F"/>
    <w:rsid w:val="0071180B"/>
    <w:rsid w:val="00712D5C"/>
    <w:rsid w:val="00714589"/>
    <w:rsid w:val="00714F63"/>
    <w:rsid w:val="0071508D"/>
    <w:rsid w:val="00717336"/>
    <w:rsid w:val="0071745E"/>
    <w:rsid w:val="00722228"/>
    <w:rsid w:val="007223A4"/>
    <w:rsid w:val="0072283E"/>
    <w:rsid w:val="00722EBB"/>
    <w:rsid w:val="0072341A"/>
    <w:rsid w:val="00723661"/>
    <w:rsid w:val="007250B1"/>
    <w:rsid w:val="007279C1"/>
    <w:rsid w:val="00730E2A"/>
    <w:rsid w:val="00733A89"/>
    <w:rsid w:val="007370F8"/>
    <w:rsid w:val="007400EA"/>
    <w:rsid w:val="007408EB"/>
    <w:rsid w:val="00741B0E"/>
    <w:rsid w:val="0074278E"/>
    <w:rsid w:val="00742AAC"/>
    <w:rsid w:val="00743575"/>
    <w:rsid w:val="0075307E"/>
    <w:rsid w:val="00753704"/>
    <w:rsid w:val="00753ABE"/>
    <w:rsid w:val="007544D6"/>
    <w:rsid w:val="00756CEE"/>
    <w:rsid w:val="007579B2"/>
    <w:rsid w:val="00760C23"/>
    <w:rsid w:val="007619D9"/>
    <w:rsid w:val="00765A1B"/>
    <w:rsid w:val="00765B39"/>
    <w:rsid w:val="00766BCD"/>
    <w:rsid w:val="00766F6C"/>
    <w:rsid w:val="00771854"/>
    <w:rsid w:val="00771BB2"/>
    <w:rsid w:val="00771E72"/>
    <w:rsid w:val="00775A1D"/>
    <w:rsid w:val="00775CE5"/>
    <w:rsid w:val="00775EAB"/>
    <w:rsid w:val="00776294"/>
    <w:rsid w:val="00782A61"/>
    <w:rsid w:val="00782D66"/>
    <w:rsid w:val="00783835"/>
    <w:rsid w:val="00785D8B"/>
    <w:rsid w:val="00787836"/>
    <w:rsid w:val="00787FE2"/>
    <w:rsid w:val="00790302"/>
    <w:rsid w:val="00790C02"/>
    <w:rsid w:val="007925F3"/>
    <w:rsid w:val="00794513"/>
    <w:rsid w:val="00794788"/>
    <w:rsid w:val="00795850"/>
    <w:rsid w:val="007968A3"/>
    <w:rsid w:val="00796B97"/>
    <w:rsid w:val="00797752"/>
    <w:rsid w:val="00797F03"/>
    <w:rsid w:val="007A0AD5"/>
    <w:rsid w:val="007A30DF"/>
    <w:rsid w:val="007A4107"/>
    <w:rsid w:val="007A4D0A"/>
    <w:rsid w:val="007A6992"/>
    <w:rsid w:val="007A6FDB"/>
    <w:rsid w:val="007A71F7"/>
    <w:rsid w:val="007B1ABF"/>
    <w:rsid w:val="007B254D"/>
    <w:rsid w:val="007B4D81"/>
    <w:rsid w:val="007B5E0A"/>
    <w:rsid w:val="007B6DE4"/>
    <w:rsid w:val="007C669C"/>
    <w:rsid w:val="007D0251"/>
    <w:rsid w:val="007D1D46"/>
    <w:rsid w:val="007D32CA"/>
    <w:rsid w:val="007D3840"/>
    <w:rsid w:val="007D3B14"/>
    <w:rsid w:val="007D413B"/>
    <w:rsid w:val="007D4A43"/>
    <w:rsid w:val="007D5687"/>
    <w:rsid w:val="007D6FEB"/>
    <w:rsid w:val="007E0C6F"/>
    <w:rsid w:val="007E12E6"/>
    <w:rsid w:val="007E1E2D"/>
    <w:rsid w:val="007E2B28"/>
    <w:rsid w:val="007E3ED3"/>
    <w:rsid w:val="007E4459"/>
    <w:rsid w:val="007E44BD"/>
    <w:rsid w:val="007E4FBE"/>
    <w:rsid w:val="007E6D0D"/>
    <w:rsid w:val="007E7BD4"/>
    <w:rsid w:val="007F10D7"/>
    <w:rsid w:val="007F2C99"/>
    <w:rsid w:val="007F2E19"/>
    <w:rsid w:val="007F37C0"/>
    <w:rsid w:val="007F3D57"/>
    <w:rsid w:val="007F4012"/>
    <w:rsid w:val="008005B8"/>
    <w:rsid w:val="008021B7"/>
    <w:rsid w:val="00803F5F"/>
    <w:rsid w:val="00807431"/>
    <w:rsid w:val="00807682"/>
    <w:rsid w:val="0081088E"/>
    <w:rsid w:val="00810903"/>
    <w:rsid w:val="00810B97"/>
    <w:rsid w:val="00811F91"/>
    <w:rsid w:val="0081352F"/>
    <w:rsid w:val="008143F1"/>
    <w:rsid w:val="008148B2"/>
    <w:rsid w:val="00814FF9"/>
    <w:rsid w:val="008158FF"/>
    <w:rsid w:val="00815BAA"/>
    <w:rsid w:val="00815E08"/>
    <w:rsid w:val="00816AF4"/>
    <w:rsid w:val="00821A5C"/>
    <w:rsid w:val="00821C97"/>
    <w:rsid w:val="00823442"/>
    <w:rsid w:val="00827230"/>
    <w:rsid w:val="00827709"/>
    <w:rsid w:val="0083005D"/>
    <w:rsid w:val="00830790"/>
    <w:rsid w:val="008314DF"/>
    <w:rsid w:val="00831A41"/>
    <w:rsid w:val="00831B4E"/>
    <w:rsid w:val="0083296B"/>
    <w:rsid w:val="00832D8C"/>
    <w:rsid w:val="00837D68"/>
    <w:rsid w:val="008417FD"/>
    <w:rsid w:val="00842005"/>
    <w:rsid w:val="00842A7C"/>
    <w:rsid w:val="00844B6C"/>
    <w:rsid w:val="00845ACE"/>
    <w:rsid w:val="00852742"/>
    <w:rsid w:val="00854A4B"/>
    <w:rsid w:val="00856B56"/>
    <w:rsid w:val="00856BC8"/>
    <w:rsid w:val="008619C3"/>
    <w:rsid w:val="00862AA7"/>
    <w:rsid w:val="00863EF8"/>
    <w:rsid w:val="008641F9"/>
    <w:rsid w:val="00864650"/>
    <w:rsid w:val="0086518C"/>
    <w:rsid w:val="0086617A"/>
    <w:rsid w:val="00867E8A"/>
    <w:rsid w:val="00867F51"/>
    <w:rsid w:val="00870D04"/>
    <w:rsid w:val="00872270"/>
    <w:rsid w:val="00873EA5"/>
    <w:rsid w:val="00876292"/>
    <w:rsid w:val="008768C1"/>
    <w:rsid w:val="00876913"/>
    <w:rsid w:val="008773D3"/>
    <w:rsid w:val="00880B83"/>
    <w:rsid w:val="00880C70"/>
    <w:rsid w:val="008825F9"/>
    <w:rsid w:val="008832EF"/>
    <w:rsid w:val="00883C58"/>
    <w:rsid w:val="00883D24"/>
    <w:rsid w:val="00884B62"/>
    <w:rsid w:val="00885908"/>
    <w:rsid w:val="00887D61"/>
    <w:rsid w:val="00893D90"/>
    <w:rsid w:val="00894152"/>
    <w:rsid w:val="0089421A"/>
    <w:rsid w:val="00895C74"/>
    <w:rsid w:val="00896823"/>
    <w:rsid w:val="008A1132"/>
    <w:rsid w:val="008A128D"/>
    <w:rsid w:val="008A12C1"/>
    <w:rsid w:val="008A210F"/>
    <w:rsid w:val="008A2EE1"/>
    <w:rsid w:val="008A30B8"/>
    <w:rsid w:val="008A336D"/>
    <w:rsid w:val="008A4EBF"/>
    <w:rsid w:val="008A7618"/>
    <w:rsid w:val="008B082D"/>
    <w:rsid w:val="008B1AEE"/>
    <w:rsid w:val="008B1C8E"/>
    <w:rsid w:val="008B1D24"/>
    <w:rsid w:val="008B5E1A"/>
    <w:rsid w:val="008B70F3"/>
    <w:rsid w:val="008B73BE"/>
    <w:rsid w:val="008C14A0"/>
    <w:rsid w:val="008C436A"/>
    <w:rsid w:val="008C45EF"/>
    <w:rsid w:val="008C4AC5"/>
    <w:rsid w:val="008C64AC"/>
    <w:rsid w:val="008C72FD"/>
    <w:rsid w:val="008C7368"/>
    <w:rsid w:val="008D0BC0"/>
    <w:rsid w:val="008D4739"/>
    <w:rsid w:val="008D4C0C"/>
    <w:rsid w:val="008D505A"/>
    <w:rsid w:val="008D51C5"/>
    <w:rsid w:val="008D5783"/>
    <w:rsid w:val="008D70DD"/>
    <w:rsid w:val="008E07F6"/>
    <w:rsid w:val="008E231D"/>
    <w:rsid w:val="008E4107"/>
    <w:rsid w:val="008E5248"/>
    <w:rsid w:val="008F0186"/>
    <w:rsid w:val="008F2C11"/>
    <w:rsid w:val="008F2CAE"/>
    <w:rsid w:val="008F4111"/>
    <w:rsid w:val="008F4B0E"/>
    <w:rsid w:val="008F5E4D"/>
    <w:rsid w:val="008F66B6"/>
    <w:rsid w:val="00901972"/>
    <w:rsid w:val="009042EC"/>
    <w:rsid w:val="009067A5"/>
    <w:rsid w:val="009106A8"/>
    <w:rsid w:val="00911306"/>
    <w:rsid w:val="0091160C"/>
    <w:rsid w:val="00911E27"/>
    <w:rsid w:val="00913017"/>
    <w:rsid w:val="00913972"/>
    <w:rsid w:val="009155D3"/>
    <w:rsid w:val="00916008"/>
    <w:rsid w:val="0091608C"/>
    <w:rsid w:val="00916610"/>
    <w:rsid w:val="0091688A"/>
    <w:rsid w:val="009170CC"/>
    <w:rsid w:val="00921D7A"/>
    <w:rsid w:val="00923F7D"/>
    <w:rsid w:val="0092409F"/>
    <w:rsid w:val="00924C28"/>
    <w:rsid w:val="00925783"/>
    <w:rsid w:val="00925BAB"/>
    <w:rsid w:val="009264A8"/>
    <w:rsid w:val="00927839"/>
    <w:rsid w:val="00932DFF"/>
    <w:rsid w:val="009337F6"/>
    <w:rsid w:val="00934ED9"/>
    <w:rsid w:val="009358F4"/>
    <w:rsid w:val="00935B1D"/>
    <w:rsid w:val="009365BD"/>
    <w:rsid w:val="009366BA"/>
    <w:rsid w:val="00940A0E"/>
    <w:rsid w:val="00940BDC"/>
    <w:rsid w:val="0094107B"/>
    <w:rsid w:val="00943564"/>
    <w:rsid w:val="0094472A"/>
    <w:rsid w:val="00945D63"/>
    <w:rsid w:val="009460FA"/>
    <w:rsid w:val="00947B56"/>
    <w:rsid w:val="00947EB4"/>
    <w:rsid w:val="0095032E"/>
    <w:rsid w:val="0095186E"/>
    <w:rsid w:val="009520BE"/>
    <w:rsid w:val="009558E9"/>
    <w:rsid w:val="00961A57"/>
    <w:rsid w:val="00962423"/>
    <w:rsid w:val="00963559"/>
    <w:rsid w:val="00970248"/>
    <w:rsid w:val="009703B8"/>
    <w:rsid w:val="00972F64"/>
    <w:rsid w:val="00973C96"/>
    <w:rsid w:val="00973FAA"/>
    <w:rsid w:val="009741FD"/>
    <w:rsid w:val="00974A70"/>
    <w:rsid w:val="0097536F"/>
    <w:rsid w:val="009810CA"/>
    <w:rsid w:val="00982B59"/>
    <w:rsid w:val="00983492"/>
    <w:rsid w:val="00983C82"/>
    <w:rsid w:val="009853E0"/>
    <w:rsid w:val="00985675"/>
    <w:rsid w:val="0098594C"/>
    <w:rsid w:val="00986A54"/>
    <w:rsid w:val="00987B91"/>
    <w:rsid w:val="00991C9B"/>
    <w:rsid w:val="00992318"/>
    <w:rsid w:val="0099376A"/>
    <w:rsid w:val="009950C6"/>
    <w:rsid w:val="009965D3"/>
    <w:rsid w:val="009A0C35"/>
    <w:rsid w:val="009A18CE"/>
    <w:rsid w:val="009A28EF"/>
    <w:rsid w:val="009A3618"/>
    <w:rsid w:val="009A379E"/>
    <w:rsid w:val="009A3D6A"/>
    <w:rsid w:val="009A44CF"/>
    <w:rsid w:val="009A5C35"/>
    <w:rsid w:val="009A63E7"/>
    <w:rsid w:val="009A74E8"/>
    <w:rsid w:val="009B14C3"/>
    <w:rsid w:val="009B23E9"/>
    <w:rsid w:val="009B2B84"/>
    <w:rsid w:val="009B3C47"/>
    <w:rsid w:val="009B4E45"/>
    <w:rsid w:val="009B6ACC"/>
    <w:rsid w:val="009B7018"/>
    <w:rsid w:val="009C03F6"/>
    <w:rsid w:val="009C1C5A"/>
    <w:rsid w:val="009C4335"/>
    <w:rsid w:val="009C4BBA"/>
    <w:rsid w:val="009C6A95"/>
    <w:rsid w:val="009D010F"/>
    <w:rsid w:val="009D514B"/>
    <w:rsid w:val="009D56DF"/>
    <w:rsid w:val="009D5810"/>
    <w:rsid w:val="009D5DEC"/>
    <w:rsid w:val="009D6F96"/>
    <w:rsid w:val="009E2D20"/>
    <w:rsid w:val="009E2D3F"/>
    <w:rsid w:val="009E2EF2"/>
    <w:rsid w:val="009E40B4"/>
    <w:rsid w:val="009E79D3"/>
    <w:rsid w:val="009F2993"/>
    <w:rsid w:val="009F4E0D"/>
    <w:rsid w:val="009F5408"/>
    <w:rsid w:val="009F5CEC"/>
    <w:rsid w:val="009F6117"/>
    <w:rsid w:val="009F746F"/>
    <w:rsid w:val="00A00048"/>
    <w:rsid w:val="00A00F5E"/>
    <w:rsid w:val="00A03581"/>
    <w:rsid w:val="00A04A79"/>
    <w:rsid w:val="00A05BA4"/>
    <w:rsid w:val="00A073CA"/>
    <w:rsid w:val="00A10147"/>
    <w:rsid w:val="00A10FFB"/>
    <w:rsid w:val="00A119A9"/>
    <w:rsid w:val="00A13240"/>
    <w:rsid w:val="00A13B24"/>
    <w:rsid w:val="00A150A8"/>
    <w:rsid w:val="00A179E3"/>
    <w:rsid w:val="00A206F1"/>
    <w:rsid w:val="00A21E96"/>
    <w:rsid w:val="00A227E1"/>
    <w:rsid w:val="00A22F6A"/>
    <w:rsid w:val="00A243D4"/>
    <w:rsid w:val="00A26708"/>
    <w:rsid w:val="00A26E5A"/>
    <w:rsid w:val="00A2764D"/>
    <w:rsid w:val="00A31594"/>
    <w:rsid w:val="00A32699"/>
    <w:rsid w:val="00A34B2B"/>
    <w:rsid w:val="00A35C7B"/>
    <w:rsid w:val="00A36BCE"/>
    <w:rsid w:val="00A36DD8"/>
    <w:rsid w:val="00A37AFE"/>
    <w:rsid w:val="00A42AD5"/>
    <w:rsid w:val="00A43C2C"/>
    <w:rsid w:val="00A44190"/>
    <w:rsid w:val="00A46166"/>
    <w:rsid w:val="00A472D6"/>
    <w:rsid w:val="00A50F44"/>
    <w:rsid w:val="00A543B7"/>
    <w:rsid w:val="00A550E4"/>
    <w:rsid w:val="00A55B53"/>
    <w:rsid w:val="00A55F47"/>
    <w:rsid w:val="00A600D5"/>
    <w:rsid w:val="00A619F4"/>
    <w:rsid w:val="00A622E0"/>
    <w:rsid w:val="00A63728"/>
    <w:rsid w:val="00A64160"/>
    <w:rsid w:val="00A6593D"/>
    <w:rsid w:val="00A66FAE"/>
    <w:rsid w:val="00A703CE"/>
    <w:rsid w:val="00A72668"/>
    <w:rsid w:val="00A73802"/>
    <w:rsid w:val="00A7480C"/>
    <w:rsid w:val="00A7583E"/>
    <w:rsid w:val="00A76453"/>
    <w:rsid w:val="00A766B3"/>
    <w:rsid w:val="00A770E0"/>
    <w:rsid w:val="00A7790C"/>
    <w:rsid w:val="00A8271E"/>
    <w:rsid w:val="00A833D8"/>
    <w:rsid w:val="00A84CD9"/>
    <w:rsid w:val="00A857E9"/>
    <w:rsid w:val="00A875DA"/>
    <w:rsid w:val="00A9108C"/>
    <w:rsid w:val="00A917F2"/>
    <w:rsid w:val="00A93385"/>
    <w:rsid w:val="00A955F9"/>
    <w:rsid w:val="00A9638B"/>
    <w:rsid w:val="00A97D38"/>
    <w:rsid w:val="00AA0BAC"/>
    <w:rsid w:val="00AA3A82"/>
    <w:rsid w:val="00AA4D3F"/>
    <w:rsid w:val="00AA6B9B"/>
    <w:rsid w:val="00AA74FB"/>
    <w:rsid w:val="00AA77D1"/>
    <w:rsid w:val="00AB27B2"/>
    <w:rsid w:val="00AB3830"/>
    <w:rsid w:val="00AB5672"/>
    <w:rsid w:val="00AC23E9"/>
    <w:rsid w:val="00AC2455"/>
    <w:rsid w:val="00AC271A"/>
    <w:rsid w:val="00AC299A"/>
    <w:rsid w:val="00AC33D9"/>
    <w:rsid w:val="00AC3E4A"/>
    <w:rsid w:val="00AC571E"/>
    <w:rsid w:val="00AC5764"/>
    <w:rsid w:val="00AC635E"/>
    <w:rsid w:val="00AC7B18"/>
    <w:rsid w:val="00AC7F2A"/>
    <w:rsid w:val="00AC7F9A"/>
    <w:rsid w:val="00AD0D8F"/>
    <w:rsid w:val="00AD0EE2"/>
    <w:rsid w:val="00AD1865"/>
    <w:rsid w:val="00AD2103"/>
    <w:rsid w:val="00AD2959"/>
    <w:rsid w:val="00AD3334"/>
    <w:rsid w:val="00AD4DC5"/>
    <w:rsid w:val="00AD6E7C"/>
    <w:rsid w:val="00AE0154"/>
    <w:rsid w:val="00AE1370"/>
    <w:rsid w:val="00AE2453"/>
    <w:rsid w:val="00AE28DB"/>
    <w:rsid w:val="00AE3343"/>
    <w:rsid w:val="00AE45E0"/>
    <w:rsid w:val="00AE5969"/>
    <w:rsid w:val="00AE5F2C"/>
    <w:rsid w:val="00AF1EDA"/>
    <w:rsid w:val="00AF5FC0"/>
    <w:rsid w:val="00AF67C3"/>
    <w:rsid w:val="00AF7DD9"/>
    <w:rsid w:val="00B00B1F"/>
    <w:rsid w:val="00B0122F"/>
    <w:rsid w:val="00B0190B"/>
    <w:rsid w:val="00B03E97"/>
    <w:rsid w:val="00B04086"/>
    <w:rsid w:val="00B048EB"/>
    <w:rsid w:val="00B04B38"/>
    <w:rsid w:val="00B04BDC"/>
    <w:rsid w:val="00B05069"/>
    <w:rsid w:val="00B05141"/>
    <w:rsid w:val="00B06052"/>
    <w:rsid w:val="00B060A5"/>
    <w:rsid w:val="00B0773B"/>
    <w:rsid w:val="00B07879"/>
    <w:rsid w:val="00B07E58"/>
    <w:rsid w:val="00B11C29"/>
    <w:rsid w:val="00B1353F"/>
    <w:rsid w:val="00B13CEA"/>
    <w:rsid w:val="00B15C78"/>
    <w:rsid w:val="00B17D9A"/>
    <w:rsid w:val="00B209C5"/>
    <w:rsid w:val="00B21D12"/>
    <w:rsid w:val="00B21E7D"/>
    <w:rsid w:val="00B22204"/>
    <w:rsid w:val="00B25850"/>
    <w:rsid w:val="00B27BBB"/>
    <w:rsid w:val="00B32F3A"/>
    <w:rsid w:val="00B3483E"/>
    <w:rsid w:val="00B35274"/>
    <w:rsid w:val="00B36E8A"/>
    <w:rsid w:val="00B37D9C"/>
    <w:rsid w:val="00B40158"/>
    <w:rsid w:val="00B40389"/>
    <w:rsid w:val="00B409CF"/>
    <w:rsid w:val="00B41F00"/>
    <w:rsid w:val="00B42843"/>
    <w:rsid w:val="00B504E7"/>
    <w:rsid w:val="00B50C37"/>
    <w:rsid w:val="00B5100B"/>
    <w:rsid w:val="00B512FB"/>
    <w:rsid w:val="00B5407F"/>
    <w:rsid w:val="00B54339"/>
    <w:rsid w:val="00B54805"/>
    <w:rsid w:val="00B54D9A"/>
    <w:rsid w:val="00B56840"/>
    <w:rsid w:val="00B56DE8"/>
    <w:rsid w:val="00B56E90"/>
    <w:rsid w:val="00B57418"/>
    <w:rsid w:val="00B6125E"/>
    <w:rsid w:val="00B6489A"/>
    <w:rsid w:val="00B6568E"/>
    <w:rsid w:val="00B65BF4"/>
    <w:rsid w:val="00B66694"/>
    <w:rsid w:val="00B6778E"/>
    <w:rsid w:val="00B67C00"/>
    <w:rsid w:val="00B7017A"/>
    <w:rsid w:val="00B70696"/>
    <w:rsid w:val="00B718C2"/>
    <w:rsid w:val="00B74FE8"/>
    <w:rsid w:val="00B76100"/>
    <w:rsid w:val="00B763C0"/>
    <w:rsid w:val="00B763F0"/>
    <w:rsid w:val="00B8255D"/>
    <w:rsid w:val="00B86310"/>
    <w:rsid w:val="00B86583"/>
    <w:rsid w:val="00B93100"/>
    <w:rsid w:val="00B9395A"/>
    <w:rsid w:val="00B959CC"/>
    <w:rsid w:val="00B97714"/>
    <w:rsid w:val="00BA156D"/>
    <w:rsid w:val="00BA18AB"/>
    <w:rsid w:val="00BA43D8"/>
    <w:rsid w:val="00BA450F"/>
    <w:rsid w:val="00BA5B19"/>
    <w:rsid w:val="00BA7BF3"/>
    <w:rsid w:val="00BB000F"/>
    <w:rsid w:val="00BB0374"/>
    <w:rsid w:val="00BB12E4"/>
    <w:rsid w:val="00BB1FCB"/>
    <w:rsid w:val="00BB3B72"/>
    <w:rsid w:val="00BB5C71"/>
    <w:rsid w:val="00BB7FCC"/>
    <w:rsid w:val="00BC0EED"/>
    <w:rsid w:val="00BC2062"/>
    <w:rsid w:val="00BC20CC"/>
    <w:rsid w:val="00BC251A"/>
    <w:rsid w:val="00BC32B7"/>
    <w:rsid w:val="00BC3508"/>
    <w:rsid w:val="00BC400B"/>
    <w:rsid w:val="00BC5938"/>
    <w:rsid w:val="00BC6039"/>
    <w:rsid w:val="00BD0237"/>
    <w:rsid w:val="00BD2890"/>
    <w:rsid w:val="00BD2C77"/>
    <w:rsid w:val="00BD3484"/>
    <w:rsid w:val="00BD3A8E"/>
    <w:rsid w:val="00BD41B9"/>
    <w:rsid w:val="00BD4789"/>
    <w:rsid w:val="00BD6CC3"/>
    <w:rsid w:val="00BE27A4"/>
    <w:rsid w:val="00BE2DA1"/>
    <w:rsid w:val="00BE3AC5"/>
    <w:rsid w:val="00BE47E5"/>
    <w:rsid w:val="00BE4F81"/>
    <w:rsid w:val="00BE51F7"/>
    <w:rsid w:val="00BE5AB7"/>
    <w:rsid w:val="00BE6166"/>
    <w:rsid w:val="00BF2A8E"/>
    <w:rsid w:val="00BF53FA"/>
    <w:rsid w:val="00BF7FAB"/>
    <w:rsid w:val="00C012CB"/>
    <w:rsid w:val="00C01FE3"/>
    <w:rsid w:val="00C0487F"/>
    <w:rsid w:val="00C04F7C"/>
    <w:rsid w:val="00C05FC1"/>
    <w:rsid w:val="00C06B1A"/>
    <w:rsid w:val="00C07D3D"/>
    <w:rsid w:val="00C1042C"/>
    <w:rsid w:val="00C1072C"/>
    <w:rsid w:val="00C1073D"/>
    <w:rsid w:val="00C10AD4"/>
    <w:rsid w:val="00C11492"/>
    <w:rsid w:val="00C12959"/>
    <w:rsid w:val="00C144C0"/>
    <w:rsid w:val="00C14935"/>
    <w:rsid w:val="00C16974"/>
    <w:rsid w:val="00C174B0"/>
    <w:rsid w:val="00C17530"/>
    <w:rsid w:val="00C204C2"/>
    <w:rsid w:val="00C20D11"/>
    <w:rsid w:val="00C20F47"/>
    <w:rsid w:val="00C21BC7"/>
    <w:rsid w:val="00C21FF2"/>
    <w:rsid w:val="00C2358A"/>
    <w:rsid w:val="00C238FB"/>
    <w:rsid w:val="00C24E55"/>
    <w:rsid w:val="00C25465"/>
    <w:rsid w:val="00C2695C"/>
    <w:rsid w:val="00C26CC0"/>
    <w:rsid w:val="00C302D1"/>
    <w:rsid w:val="00C30464"/>
    <w:rsid w:val="00C30568"/>
    <w:rsid w:val="00C318BB"/>
    <w:rsid w:val="00C31A80"/>
    <w:rsid w:val="00C34D70"/>
    <w:rsid w:val="00C35C64"/>
    <w:rsid w:val="00C35D44"/>
    <w:rsid w:val="00C35DCF"/>
    <w:rsid w:val="00C37CDB"/>
    <w:rsid w:val="00C37D31"/>
    <w:rsid w:val="00C40694"/>
    <w:rsid w:val="00C4080C"/>
    <w:rsid w:val="00C40D4B"/>
    <w:rsid w:val="00C414E1"/>
    <w:rsid w:val="00C43E6B"/>
    <w:rsid w:val="00C44978"/>
    <w:rsid w:val="00C45A25"/>
    <w:rsid w:val="00C460C2"/>
    <w:rsid w:val="00C47F9D"/>
    <w:rsid w:val="00C52913"/>
    <w:rsid w:val="00C529E5"/>
    <w:rsid w:val="00C52A41"/>
    <w:rsid w:val="00C55451"/>
    <w:rsid w:val="00C558F6"/>
    <w:rsid w:val="00C6027E"/>
    <w:rsid w:val="00C62671"/>
    <w:rsid w:val="00C62D60"/>
    <w:rsid w:val="00C64E04"/>
    <w:rsid w:val="00C66406"/>
    <w:rsid w:val="00C66B70"/>
    <w:rsid w:val="00C66FF4"/>
    <w:rsid w:val="00C706FE"/>
    <w:rsid w:val="00C73F00"/>
    <w:rsid w:val="00C74785"/>
    <w:rsid w:val="00C74C48"/>
    <w:rsid w:val="00C752E3"/>
    <w:rsid w:val="00C76337"/>
    <w:rsid w:val="00C76E11"/>
    <w:rsid w:val="00C802F1"/>
    <w:rsid w:val="00C80E59"/>
    <w:rsid w:val="00C81302"/>
    <w:rsid w:val="00C82959"/>
    <w:rsid w:val="00C8367E"/>
    <w:rsid w:val="00C86B0C"/>
    <w:rsid w:val="00C9000D"/>
    <w:rsid w:val="00C91965"/>
    <w:rsid w:val="00C91CF7"/>
    <w:rsid w:val="00C92903"/>
    <w:rsid w:val="00C92E0B"/>
    <w:rsid w:val="00C937E2"/>
    <w:rsid w:val="00C94F7D"/>
    <w:rsid w:val="00C95EB2"/>
    <w:rsid w:val="00C97898"/>
    <w:rsid w:val="00CA024E"/>
    <w:rsid w:val="00CA0527"/>
    <w:rsid w:val="00CA16E9"/>
    <w:rsid w:val="00CA2C42"/>
    <w:rsid w:val="00CA4956"/>
    <w:rsid w:val="00CB0F9E"/>
    <w:rsid w:val="00CB15DF"/>
    <w:rsid w:val="00CB164D"/>
    <w:rsid w:val="00CB22E9"/>
    <w:rsid w:val="00CB288B"/>
    <w:rsid w:val="00CB2B07"/>
    <w:rsid w:val="00CB2BC3"/>
    <w:rsid w:val="00CB3F59"/>
    <w:rsid w:val="00CB4414"/>
    <w:rsid w:val="00CB734F"/>
    <w:rsid w:val="00CB7FCB"/>
    <w:rsid w:val="00CC1E75"/>
    <w:rsid w:val="00CC2C4F"/>
    <w:rsid w:val="00CC2C6A"/>
    <w:rsid w:val="00CC3A98"/>
    <w:rsid w:val="00CC527A"/>
    <w:rsid w:val="00CC53C5"/>
    <w:rsid w:val="00CC6313"/>
    <w:rsid w:val="00CD221D"/>
    <w:rsid w:val="00CD2FEC"/>
    <w:rsid w:val="00CD5D48"/>
    <w:rsid w:val="00CD5D91"/>
    <w:rsid w:val="00CD6DC4"/>
    <w:rsid w:val="00CD732F"/>
    <w:rsid w:val="00CE1245"/>
    <w:rsid w:val="00CE1772"/>
    <w:rsid w:val="00CE1EAA"/>
    <w:rsid w:val="00CE2237"/>
    <w:rsid w:val="00CE3778"/>
    <w:rsid w:val="00CE4C6E"/>
    <w:rsid w:val="00CE6ABE"/>
    <w:rsid w:val="00CE752E"/>
    <w:rsid w:val="00CE7ED0"/>
    <w:rsid w:val="00CF36ED"/>
    <w:rsid w:val="00CF3AFA"/>
    <w:rsid w:val="00CF3C67"/>
    <w:rsid w:val="00CF4360"/>
    <w:rsid w:val="00CF472B"/>
    <w:rsid w:val="00CF5311"/>
    <w:rsid w:val="00CF5D58"/>
    <w:rsid w:val="00CF5FD0"/>
    <w:rsid w:val="00CF7396"/>
    <w:rsid w:val="00D01C4D"/>
    <w:rsid w:val="00D03CD5"/>
    <w:rsid w:val="00D0446A"/>
    <w:rsid w:val="00D04DE0"/>
    <w:rsid w:val="00D058B2"/>
    <w:rsid w:val="00D0691F"/>
    <w:rsid w:val="00D11A71"/>
    <w:rsid w:val="00D1262D"/>
    <w:rsid w:val="00D128D8"/>
    <w:rsid w:val="00D12A06"/>
    <w:rsid w:val="00D1368C"/>
    <w:rsid w:val="00D14307"/>
    <w:rsid w:val="00D151F6"/>
    <w:rsid w:val="00D1553E"/>
    <w:rsid w:val="00D17F79"/>
    <w:rsid w:val="00D23258"/>
    <w:rsid w:val="00D23753"/>
    <w:rsid w:val="00D23DDA"/>
    <w:rsid w:val="00D2428E"/>
    <w:rsid w:val="00D2492F"/>
    <w:rsid w:val="00D258E8"/>
    <w:rsid w:val="00D25F97"/>
    <w:rsid w:val="00D273DD"/>
    <w:rsid w:val="00D276DC"/>
    <w:rsid w:val="00D27FB6"/>
    <w:rsid w:val="00D30641"/>
    <w:rsid w:val="00D30A74"/>
    <w:rsid w:val="00D322C1"/>
    <w:rsid w:val="00D32A8C"/>
    <w:rsid w:val="00D34067"/>
    <w:rsid w:val="00D37275"/>
    <w:rsid w:val="00D37A0B"/>
    <w:rsid w:val="00D41417"/>
    <w:rsid w:val="00D41BF5"/>
    <w:rsid w:val="00D43BAC"/>
    <w:rsid w:val="00D44BC3"/>
    <w:rsid w:val="00D44F3C"/>
    <w:rsid w:val="00D45CC1"/>
    <w:rsid w:val="00D45E52"/>
    <w:rsid w:val="00D45E5E"/>
    <w:rsid w:val="00D46CE7"/>
    <w:rsid w:val="00D47AF0"/>
    <w:rsid w:val="00D507A4"/>
    <w:rsid w:val="00D54A76"/>
    <w:rsid w:val="00D552C3"/>
    <w:rsid w:val="00D562AD"/>
    <w:rsid w:val="00D60C2C"/>
    <w:rsid w:val="00D617E4"/>
    <w:rsid w:val="00D62F2D"/>
    <w:rsid w:val="00D6426E"/>
    <w:rsid w:val="00D65323"/>
    <w:rsid w:val="00D65533"/>
    <w:rsid w:val="00D657E4"/>
    <w:rsid w:val="00D7033E"/>
    <w:rsid w:val="00D70F66"/>
    <w:rsid w:val="00D710E3"/>
    <w:rsid w:val="00D7218A"/>
    <w:rsid w:val="00D72796"/>
    <w:rsid w:val="00D7296B"/>
    <w:rsid w:val="00D72982"/>
    <w:rsid w:val="00D7391A"/>
    <w:rsid w:val="00D73AE5"/>
    <w:rsid w:val="00D73D04"/>
    <w:rsid w:val="00D74854"/>
    <w:rsid w:val="00D76A07"/>
    <w:rsid w:val="00D81493"/>
    <w:rsid w:val="00D814C0"/>
    <w:rsid w:val="00D81572"/>
    <w:rsid w:val="00D81BB8"/>
    <w:rsid w:val="00D82C42"/>
    <w:rsid w:val="00D85567"/>
    <w:rsid w:val="00D85990"/>
    <w:rsid w:val="00D8669A"/>
    <w:rsid w:val="00D866D1"/>
    <w:rsid w:val="00D872DD"/>
    <w:rsid w:val="00D90BF6"/>
    <w:rsid w:val="00D91EE0"/>
    <w:rsid w:val="00D9260F"/>
    <w:rsid w:val="00D93A3F"/>
    <w:rsid w:val="00D9442B"/>
    <w:rsid w:val="00D94C9B"/>
    <w:rsid w:val="00D959CB"/>
    <w:rsid w:val="00D97309"/>
    <w:rsid w:val="00D97C66"/>
    <w:rsid w:val="00DA0745"/>
    <w:rsid w:val="00DA0752"/>
    <w:rsid w:val="00DA19C7"/>
    <w:rsid w:val="00DA1B84"/>
    <w:rsid w:val="00DA1E23"/>
    <w:rsid w:val="00DA1F82"/>
    <w:rsid w:val="00DA205A"/>
    <w:rsid w:val="00DA220C"/>
    <w:rsid w:val="00DA277E"/>
    <w:rsid w:val="00DA27FE"/>
    <w:rsid w:val="00DA2EC5"/>
    <w:rsid w:val="00DA38EE"/>
    <w:rsid w:val="00DA40FB"/>
    <w:rsid w:val="00DA5AE9"/>
    <w:rsid w:val="00DB1CC1"/>
    <w:rsid w:val="00DB1E52"/>
    <w:rsid w:val="00DB1ED7"/>
    <w:rsid w:val="00DB2EA0"/>
    <w:rsid w:val="00DB3D85"/>
    <w:rsid w:val="00DB4667"/>
    <w:rsid w:val="00DB4BEC"/>
    <w:rsid w:val="00DB7569"/>
    <w:rsid w:val="00DB7DA8"/>
    <w:rsid w:val="00DC144F"/>
    <w:rsid w:val="00DC330B"/>
    <w:rsid w:val="00DC457C"/>
    <w:rsid w:val="00DC4F11"/>
    <w:rsid w:val="00DC5456"/>
    <w:rsid w:val="00DC55E6"/>
    <w:rsid w:val="00DC5749"/>
    <w:rsid w:val="00DD1E46"/>
    <w:rsid w:val="00DD3860"/>
    <w:rsid w:val="00DD3A29"/>
    <w:rsid w:val="00DD4DA5"/>
    <w:rsid w:val="00DD540A"/>
    <w:rsid w:val="00DD732D"/>
    <w:rsid w:val="00DD7575"/>
    <w:rsid w:val="00DD7866"/>
    <w:rsid w:val="00DE27C6"/>
    <w:rsid w:val="00DE31FF"/>
    <w:rsid w:val="00DE3DF9"/>
    <w:rsid w:val="00DE3E7C"/>
    <w:rsid w:val="00DE485D"/>
    <w:rsid w:val="00DE4B33"/>
    <w:rsid w:val="00DE4EA6"/>
    <w:rsid w:val="00DE5232"/>
    <w:rsid w:val="00DE575C"/>
    <w:rsid w:val="00DE5AEE"/>
    <w:rsid w:val="00DE6181"/>
    <w:rsid w:val="00DF0927"/>
    <w:rsid w:val="00DF1FE8"/>
    <w:rsid w:val="00DF2D12"/>
    <w:rsid w:val="00DF489E"/>
    <w:rsid w:val="00DF544C"/>
    <w:rsid w:val="00DF6514"/>
    <w:rsid w:val="00DF7104"/>
    <w:rsid w:val="00DF7BD5"/>
    <w:rsid w:val="00E02105"/>
    <w:rsid w:val="00E02549"/>
    <w:rsid w:val="00E038D0"/>
    <w:rsid w:val="00E066D0"/>
    <w:rsid w:val="00E06AA0"/>
    <w:rsid w:val="00E071EE"/>
    <w:rsid w:val="00E1278E"/>
    <w:rsid w:val="00E12D21"/>
    <w:rsid w:val="00E176BD"/>
    <w:rsid w:val="00E206B3"/>
    <w:rsid w:val="00E210C9"/>
    <w:rsid w:val="00E21D3A"/>
    <w:rsid w:val="00E21F45"/>
    <w:rsid w:val="00E220CF"/>
    <w:rsid w:val="00E242FF"/>
    <w:rsid w:val="00E31233"/>
    <w:rsid w:val="00E3216D"/>
    <w:rsid w:val="00E334C9"/>
    <w:rsid w:val="00E3367F"/>
    <w:rsid w:val="00E343DD"/>
    <w:rsid w:val="00E35278"/>
    <w:rsid w:val="00E35EAC"/>
    <w:rsid w:val="00E36AD2"/>
    <w:rsid w:val="00E36AE0"/>
    <w:rsid w:val="00E402F6"/>
    <w:rsid w:val="00E409CF"/>
    <w:rsid w:val="00E41A75"/>
    <w:rsid w:val="00E43281"/>
    <w:rsid w:val="00E43F0A"/>
    <w:rsid w:val="00E454B8"/>
    <w:rsid w:val="00E45C22"/>
    <w:rsid w:val="00E46740"/>
    <w:rsid w:val="00E478B2"/>
    <w:rsid w:val="00E50325"/>
    <w:rsid w:val="00E50C66"/>
    <w:rsid w:val="00E52A9C"/>
    <w:rsid w:val="00E52D42"/>
    <w:rsid w:val="00E53E5C"/>
    <w:rsid w:val="00E56686"/>
    <w:rsid w:val="00E56E98"/>
    <w:rsid w:val="00E623B3"/>
    <w:rsid w:val="00E656D4"/>
    <w:rsid w:val="00E65DA0"/>
    <w:rsid w:val="00E66F75"/>
    <w:rsid w:val="00E66FD5"/>
    <w:rsid w:val="00E7107D"/>
    <w:rsid w:val="00E74E44"/>
    <w:rsid w:val="00E75357"/>
    <w:rsid w:val="00E8000B"/>
    <w:rsid w:val="00E802BC"/>
    <w:rsid w:val="00E825B5"/>
    <w:rsid w:val="00E843BD"/>
    <w:rsid w:val="00E86002"/>
    <w:rsid w:val="00E8624C"/>
    <w:rsid w:val="00E91FDE"/>
    <w:rsid w:val="00E93603"/>
    <w:rsid w:val="00E941CD"/>
    <w:rsid w:val="00EA00C5"/>
    <w:rsid w:val="00EA03D9"/>
    <w:rsid w:val="00EA4CFA"/>
    <w:rsid w:val="00EA539F"/>
    <w:rsid w:val="00EA624A"/>
    <w:rsid w:val="00EA6502"/>
    <w:rsid w:val="00EA686D"/>
    <w:rsid w:val="00EA6E92"/>
    <w:rsid w:val="00EA75E3"/>
    <w:rsid w:val="00EB0A56"/>
    <w:rsid w:val="00EB132B"/>
    <w:rsid w:val="00EB199E"/>
    <w:rsid w:val="00EB249B"/>
    <w:rsid w:val="00EB40F1"/>
    <w:rsid w:val="00EB6038"/>
    <w:rsid w:val="00EB60A6"/>
    <w:rsid w:val="00EB6DB7"/>
    <w:rsid w:val="00EC00F4"/>
    <w:rsid w:val="00EC0664"/>
    <w:rsid w:val="00EC06BF"/>
    <w:rsid w:val="00EC09C5"/>
    <w:rsid w:val="00EC0DDD"/>
    <w:rsid w:val="00EC13A6"/>
    <w:rsid w:val="00EC1929"/>
    <w:rsid w:val="00EC1EAE"/>
    <w:rsid w:val="00EC3089"/>
    <w:rsid w:val="00EC50EA"/>
    <w:rsid w:val="00EC56FD"/>
    <w:rsid w:val="00EC5EF4"/>
    <w:rsid w:val="00EC727E"/>
    <w:rsid w:val="00ED18AF"/>
    <w:rsid w:val="00ED27EB"/>
    <w:rsid w:val="00ED2F6C"/>
    <w:rsid w:val="00ED3021"/>
    <w:rsid w:val="00ED3B99"/>
    <w:rsid w:val="00EE05BC"/>
    <w:rsid w:val="00EE20D6"/>
    <w:rsid w:val="00EE2173"/>
    <w:rsid w:val="00EE49A7"/>
    <w:rsid w:val="00EF0418"/>
    <w:rsid w:val="00EF13E2"/>
    <w:rsid w:val="00EF1FF8"/>
    <w:rsid w:val="00EF5BCC"/>
    <w:rsid w:val="00EF62F7"/>
    <w:rsid w:val="00EF7821"/>
    <w:rsid w:val="00F00754"/>
    <w:rsid w:val="00F026D7"/>
    <w:rsid w:val="00F034EC"/>
    <w:rsid w:val="00F03CA3"/>
    <w:rsid w:val="00F053A8"/>
    <w:rsid w:val="00F0573B"/>
    <w:rsid w:val="00F07000"/>
    <w:rsid w:val="00F07EBC"/>
    <w:rsid w:val="00F104AA"/>
    <w:rsid w:val="00F108DA"/>
    <w:rsid w:val="00F11136"/>
    <w:rsid w:val="00F11B4F"/>
    <w:rsid w:val="00F11C0F"/>
    <w:rsid w:val="00F11F0F"/>
    <w:rsid w:val="00F14395"/>
    <w:rsid w:val="00F14639"/>
    <w:rsid w:val="00F14A2A"/>
    <w:rsid w:val="00F203DF"/>
    <w:rsid w:val="00F20A0E"/>
    <w:rsid w:val="00F219A3"/>
    <w:rsid w:val="00F22024"/>
    <w:rsid w:val="00F246EF"/>
    <w:rsid w:val="00F257CD"/>
    <w:rsid w:val="00F36518"/>
    <w:rsid w:val="00F368BD"/>
    <w:rsid w:val="00F4022E"/>
    <w:rsid w:val="00F40C38"/>
    <w:rsid w:val="00F40D6A"/>
    <w:rsid w:val="00F42912"/>
    <w:rsid w:val="00F4317B"/>
    <w:rsid w:val="00F435C2"/>
    <w:rsid w:val="00F44EF9"/>
    <w:rsid w:val="00F45E1C"/>
    <w:rsid w:val="00F501D6"/>
    <w:rsid w:val="00F524A0"/>
    <w:rsid w:val="00F5354E"/>
    <w:rsid w:val="00F54262"/>
    <w:rsid w:val="00F55183"/>
    <w:rsid w:val="00F5703C"/>
    <w:rsid w:val="00F5712C"/>
    <w:rsid w:val="00F614BB"/>
    <w:rsid w:val="00F61528"/>
    <w:rsid w:val="00F61C53"/>
    <w:rsid w:val="00F63580"/>
    <w:rsid w:val="00F6371F"/>
    <w:rsid w:val="00F6454C"/>
    <w:rsid w:val="00F65C0D"/>
    <w:rsid w:val="00F660A0"/>
    <w:rsid w:val="00F6646C"/>
    <w:rsid w:val="00F66918"/>
    <w:rsid w:val="00F701A8"/>
    <w:rsid w:val="00F7073F"/>
    <w:rsid w:val="00F71E6F"/>
    <w:rsid w:val="00F731B2"/>
    <w:rsid w:val="00F73F8F"/>
    <w:rsid w:val="00F74642"/>
    <w:rsid w:val="00F74A88"/>
    <w:rsid w:val="00F74E8D"/>
    <w:rsid w:val="00F7578B"/>
    <w:rsid w:val="00F80B4C"/>
    <w:rsid w:val="00F84659"/>
    <w:rsid w:val="00F851E2"/>
    <w:rsid w:val="00F855E6"/>
    <w:rsid w:val="00F86870"/>
    <w:rsid w:val="00F92528"/>
    <w:rsid w:val="00F92859"/>
    <w:rsid w:val="00F937D7"/>
    <w:rsid w:val="00F93DEC"/>
    <w:rsid w:val="00F9443F"/>
    <w:rsid w:val="00F959AF"/>
    <w:rsid w:val="00F95CE7"/>
    <w:rsid w:val="00F96C20"/>
    <w:rsid w:val="00FA2208"/>
    <w:rsid w:val="00FA2B29"/>
    <w:rsid w:val="00FA3388"/>
    <w:rsid w:val="00FA3E91"/>
    <w:rsid w:val="00FA4FE5"/>
    <w:rsid w:val="00FA6D57"/>
    <w:rsid w:val="00FA7F9B"/>
    <w:rsid w:val="00FB04B7"/>
    <w:rsid w:val="00FB0AD0"/>
    <w:rsid w:val="00FB338D"/>
    <w:rsid w:val="00FB3C3A"/>
    <w:rsid w:val="00FB499C"/>
    <w:rsid w:val="00FB6582"/>
    <w:rsid w:val="00FB710B"/>
    <w:rsid w:val="00FC0165"/>
    <w:rsid w:val="00FC0C8E"/>
    <w:rsid w:val="00FC1A85"/>
    <w:rsid w:val="00FC306B"/>
    <w:rsid w:val="00FC3384"/>
    <w:rsid w:val="00FC3E3F"/>
    <w:rsid w:val="00FC5188"/>
    <w:rsid w:val="00FC7D02"/>
    <w:rsid w:val="00FC7E88"/>
    <w:rsid w:val="00FD0D47"/>
    <w:rsid w:val="00FD13D2"/>
    <w:rsid w:val="00FD16D8"/>
    <w:rsid w:val="00FD2231"/>
    <w:rsid w:val="00FD2623"/>
    <w:rsid w:val="00FD2E36"/>
    <w:rsid w:val="00FD34E6"/>
    <w:rsid w:val="00FD3F66"/>
    <w:rsid w:val="00FD76EB"/>
    <w:rsid w:val="00FE21FA"/>
    <w:rsid w:val="00FE38D8"/>
    <w:rsid w:val="00FE3ADE"/>
    <w:rsid w:val="00FE3D14"/>
    <w:rsid w:val="00FE6B27"/>
    <w:rsid w:val="00FF5C6F"/>
    <w:rsid w:val="00FF5E66"/>
    <w:rsid w:val="00FF627B"/>
    <w:rsid w:val="00FF6339"/>
    <w:rsid w:val="00FF69B1"/>
    <w:rsid w:val="00FF6C47"/>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5:docId w15:val="{37E7BAC8-41BE-499A-861B-7416C6CE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938"/>
    <w:pPr>
      <w:widowControl w:val="0"/>
      <w:jc w:val="both"/>
    </w:pPr>
    <w:rPr>
      <w:snapToGrid w:val="0"/>
      <w:sz w:val="24"/>
    </w:rPr>
  </w:style>
  <w:style w:type="paragraph" w:styleId="Heading2">
    <w:name w:val="heading 2"/>
    <w:basedOn w:val="Normal"/>
    <w:next w:val="Normal"/>
    <w:link w:val="Heading2Char"/>
    <w:qFormat/>
    <w:rsid w:val="00BC5938"/>
    <w:pPr>
      <w:keepNext/>
      <w:numPr>
        <w:numId w:val="3"/>
      </w:numPr>
      <w:spacing w:before="360"/>
      <w:outlineLvl w:val="1"/>
    </w:pPr>
    <w:rPr>
      <w:b/>
      <w:u w:val="single"/>
    </w:rPr>
  </w:style>
  <w:style w:type="paragraph" w:styleId="Heading3">
    <w:name w:val="heading 3"/>
    <w:basedOn w:val="Normal"/>
    <w:next w:val="Normal"/>
    <w:qFormat/>
    <w:rsid w:val="00BC5938"/>
    <w:pPr>
      <w:keepNext/>
      <w:numPr>
        <w:ilvl w:val="1"/>
        <w:numId w:val="3"/>
      </w:numPr>
      <w:tabs>
        <w:tab w:val="left" w:pos="960"/>
      </w:tabs>
      <w:spacing w:beforeLines="10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QBLvl-1Condition">
    <w:name w:val="AQB Lvl-1 Condition"/>
    <w:link w:val="AQBLvl-1ConditionCharChar1"/>
    <w:rsid w:val="00BC5938"/>
    <w:pPr>
      <w:numPr>
        <w:numId w:val="1"/>
      </w:numPr>
      <w:spacing w:beforeLines="100"/>
      <w:jc w:val="both"/>
    </w:pPr>
    <w:rPr>
      <w:sz w:val="24"/>
    </w:rPr>
  </w:style>
  <w:style w:type="paragraph" w:customStyle="1" w:styleId="AQBLvl-2Condition">
    <w:name w:val="AQB Lvl-2 Condition"/>
    <w:rsid w:val="00BC5938"/>
    <w:pPr>
      <w:numPr>
        <w:ilvl w:val="1"/>
        <w:numId w:val="1"/>
      </w:numPr>
      <w:spacing w:beforeLines="50"/>
      <w:jc w:val="both"/>
    </w:pPr>
    <w:rPr>
      <w:snapToGrid w:val="0"/>
      <w:sz w:val="24"/>
    </w:rPr>
  </w:style>
  <w:style w:type="paragraph" w:customStyle="1" w:styleId="StyleHeading3Before1line1">
    <w:name w:val="Style Heading 3 + Before:  1 line1"/>
    <w:basedOn w:val="Heading3"/>
    <w:rsid w:val="00BC5938"/>
    <w:pPr>
      <w:numPr>
        <w:ilvl w:val="2"/>
      </w:numPr>
      <w:spacing w:before="240"/>
      <w:jc w:val="left"/>
    </w:pPr>
    <w:rPr>
      <w:bCs/>
    </w:rPr>
  </w:style>
  <w:style w:type="table" w:styleId="TableGrid">
    <w:name w:val="Table Grid"/>
    <w:basedOn w:val="TableNormal"/>
    <w:rsid w:val="00BC59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QBLvl-1ConditionCharChar1">
    <w:name w:val="AQB Lvl-1 Condition Char Char1"/>
    <w:basedOn w:val="DefaultParagraphFont"/>
    <w:link w:val="AQBLvl-1Condition"/>
    <w:rsid w:val="00BC5938"/>
    <w:rPr>
      <w:sz w:val="24"/>
      <w:lang w:val="en-US" w:eastAsia="en-US" w:bidi="ar-SA"/>
    </w:rPr>
  </w:style>
  <w:style w:type="paragraph" w:customStyle="1" w:styleId="AQBLvl-3Condition">
    <w:name w:val="AQB Lvl-3 Condition"/>
    <w:basedOn w:val="AQBLvl-2Condition"/>
    <w:rsid w:val="00BC5938"/>
    <w:pPr>
      <w:numPr>
        <w:ilvl w:val="2"/>
      </w:numPr>
    </w:pPr>
  </w:style>
  <w:style w:type="paragraph" w:customStyle="1" w:styleId="AQBLvl-4Condition">
    <w:name w:val="AQB Lvl-4 Condition"/>
    <w:basedOn w:val="AQBLvl-3Condition"/>
    <w:rsid w:val="00BC5938"/>
    <w:pPr>
      <w:numPr>
        <w:ilvl w:val="3"/>
      </w:numPr>
      <w:tabs>
        <w:tab w:val="left" w:pos="2340"/>
      </w:tabs>
    </w:pPr>
  </w:style>
  <w:style w:type="character" w:customStyle="1" w:styleId="Heading2Char">
    <w:name w:val="Heading 2 Char"/>
    <w:basedOn w:val="DefaultParagraphFont"/>
    <w:link w:val="Heading2"/>
    <w:rsid w:val="00BC5938"/>
    <w:rPr>
      <w:b/>
      <w:snapToGrid w:val="0"/>
      <w:sz w:val="24"/>
      <w:u w:val="single"/>
      <w:lang w:val="en-US" w:eastAsia="en-US" w:bidi="ar-SA"/>
    </w:rPr>
  </w:style>
  <w:style w:type="character" w:styleId="Hyperlink">
    <w:name w:val="Hyperlink"/>
    <w:basedOn w:val="DefaultParagraphFont"/>
    <w:rsid w:val="00BC5938"/>
    <w:rPr>
      <w:color w:val="0000FF"/>
      <w:u w:val="single"/>
    </w:rPr>
  </w:style>
  <w:style w:type="paragraph" w:styleId="Title">
    <w:name w:val="Title"/>
    <w:basedOn w:val="Normal"/>
    <w:qFormat/>
    <w:rsid w:val="00BC5938"/>
    <w:pPr>
      <w:tabs>
        <w:tab w:val="center" w:pos="5112"/>
        <w:tab w:val="left" w:pos="5184"/>
        <w:tab w:val="left" w:pos="5760"/>
        <w:tab w:val="left" w:pos="6336"/>
        <w:tab w:val="left" w:pos="6912"/>
        <w:tab w:val="left" w:pos="7488"/>
        <w:tab w:val="left" w:pos="8064"/>
        <w:tab w:val="left" w:pos="8640"/>
        <w:tab w:val="left" w:pos="9216"/>
        <w:tab w:val="left" w:pos="9792"/>
      </w:tabs>
      <w:spacing w:line="240" w:lineRule="exact"/>
      <w:jc w:val="center"/>
    </w:pPr>
    <w:rPr>
      <w:rFonts w:ascii="Arial" w:hAnsi="Arial"/>
      <w:b/>
    </w:rPr>
  </w:style>
  <w:style w:type="character" w:customStyle="1" w:styleId="AQBDirections">
    <w:name w:val="AQB Directions"/>
    <w:basedOn w:val="DefaultParagraphFont"/>
    <w:rsid w:val="00BC5938"/>
    <w:rPr>
      <w:b/>
      <w:color w:val="FF0000"/>
    </w:rPr>
  </w:style>
  <w:style w:type="paragraph" w:customStyle="1" w:styleId="ConditionIndent">
    <w:name w:val="Condition Indent"/>
    <w:basedOn w:val="Normal"/>
    <w:rsid w:val="00BC5938"/>
    <w:pPr>
      <w:widowControl/>
      <w:numPr>
        <w:numId w:val="5"/>
      </w:numPr>
      <w:tabs>
        <w:tab w:val="left" w:pos="-1440"/>
      </w:tabs>
      <w:snapToGrid w:val="0"/>
      <w:spacing w:before="240"/>
    </w:pPr>
  </w:style>
  <w:style w:type="paragraph" w:styleId="Footer">
    <w:name w:val="footer"/>
    <w:basedOn w:val="Normal"/>
    <w:rsid w:val="00C62671"/>
    <w:pPr>
      <w:tabs>
        <w:tab w:val="center" w:pos="4320"/>
        <w:tab w:val="right" w:pos="8640"/>
      </w:tabs>
    </w:pPr>
  </w:style>
  <w:style w:type="character" w:styleId="PageNumber">
    <w:name w:val="page number"/>
    <w:basedOn w:val="DefaultParagraphFont"/>
    <w:uiPriority w:val="99"/>
    <w:rsid w:val="00C62671"/>
  </w:style>
  <w:style w:type="paragraph" w:styleId="Header">
    <w:name w:val="header"/>
    <w:basedOn w:val="Normal"/>
    <w:link w:val="HeaderChar"/>
    <w:uiPriority w:val="99"/>
    <w:rsid w:val="00C62671"/>
    <w:pPr>
      <w:tabs>
        <w:tab w:val="center" w:pos="4320"/>
        <w:tab w:val="right" w:pos="8640"/>
      </w:tabs>
    </w:pPr>
  </w:style>
  <w:style w:type="paragraph" w:customStyle="1" w:styleId="AQBCLvl-1">
    <w:name w:val="AQBC Lvl-1"/>
    <w:link w:val="AQBCLvl-1CharChar"/>
    <w:qFormat/>
    <w:rsid w:val="00641598"/>
    <w:pPr>
      <w:tabs>
        <w:tab w:val="num" w:pos="1116"/>
      </w:tabs>
      <w:spacing w:beforeLines="100"/>
      <w:ind w:left="1116" w:hanging="576"/>
      <w:jc w:val="both"/>
    </w:pPr>
    <w:rPr>
      <w:sz w:val="24"/>
    </w:rPr>
  </w:style>
  <w:style w:type="paragraph" w:customStyle="1" w:styleId="AQBCLvl-2">
    <w:name w:val="AQBC Lvl-2"/>
    <w:qFormat/>
    <w:rsid w:val="00641598"/>
    <w:pPr>
      <w:tabs>
        <w:tab w:val="num" w:pos="1440"/>
      </w:tabs>
      <w:spacing w:beforeLines="50"/>
      <w:ind w:left="1440" w:hanging="360"/>
      <w:jc w:val="both"/>
    </w:pPr>
    <w:rPr>
      <w:snapToGrid w:val="0"/>
      <w:sz w:val="24"/>
    </w:rPr>
  </w:style>
  <w:style w:type="character" w:customStyle="1" w:styleId="AQBCLvl-1CharChar">
    <w:name w:val="AQBC Lvl-1 Char Char"/>
    <w:basedOn w:val="DefaultParagraphFont"/>
    <w:link w:val="AQBCLvl-1"/>
    <w:rsid w:val="00641598"/>
    <w:rPr>
      <w:sz w:val="24"/>
      <w:lang w:val="en-US" w:eastAsia="en-US" w:bidi="ar-SA"/>
    </w:rPr>
  </w:style>
  <w:style w:type="paragraph" w:customStyle="1" w:styleId="AQBCLvl-3">
    <w:name w:val="AQBC Lvl-3"/>
    <w:basedOn w:val="AQBCLvl-2"/>
    <w:qFormat/>
    <w:rsid w:val="00641598"/>
    <w:pPr>
      <w:tabs>
        <w:tab w:val="clear" w:pos="1440"/>
        <w:tab w:val="num" w:pos="2160"/>
      </w:tabs>
      <w:ind w:left="2160" w:hanging="720"/>
    </w:pPr>
  </w:style>
  <w:style w:type="paragraph" w:customStyle="1" w:styleId="AQBCLvl-4">
    <w:name w:val="AQBC Lvl-4"/>
    <w:basedOn w:val="AQBCLvl-3"/>
    <w:qFormat/>
    <w:rsid w:val="00641598"/>
    <w:pPr>
      <w:tabs>
        <w:tab w:val="clear" w:pos="2160"/>
        <w:tab w:val="left" w:pos="2340"/>
        <w:tab w:val="num" w:pos="2880"/>
      </w:tabs>
      <w:ind w:left="2880" w:hanging="360"/>
    </w:pPr>
  </w:style>
  <w:style w:type="paragraph" w:customStyle="1" w:styleId="AQBTCondition">
    <w:name w:val="AQBT Condition"/>
    <w:basedOn w:val="Normal"/>
    <w:rsid w:val="00641598"/>
  </w:style>
  <w:style w:type="paragraph" w:styleId="BalloonText">
    <w:name w:val="Balloon Text"/>
    <w:basedOn w:val="Normal"/>
    <w:link w:val="BalloonTextChar"/>
    <w:rsid w:val="00672AAE"/>
    <w:rPr>
      <w:rFonts w:ascii="Tahoma" w:hAnsi="Tahoma" w:cs="Tahoma"/>
      <w:sz w:val="16"/>
      <w:szCs w:val="16"/>
    </w:rPr>
  </w:style>
  <w:style w:type="character" w:customStyle="1" w:styleId="BalloonTextChar">
    <w:name w:val="Balloon Text Char"/>
    <w:basedOn w:val="DefaultParagraphFont"/>
    <w:link w:val="BalloonText"/>
    <w:rsid w:val="00672AAE"/>
    <w:rPr>
      <w:rFonts w:ascii="Tahoma" w:hAnsi="Tahoma" w:cs="Tahoma"/>
      <w:snapToGrid w:val="0"/>
      <w:sz w:val="16"/>
      <w:szCs w:val="16"/>
    </w:rPr>
  </w:style>
  <w:style w:type="character" w:customStyle="1" w:styleId="AQBCLvl-1Char">
    <w:name w:val="AQBC Lvl-1 Char"/>
    <w:basedOn w:val="DefaultParagraphFont"/>
    <w:rsid w:val="00880C70"/>
    <w:rPr>
      <w:sz w:val="24"/>
    </w:rPr>
  </w:style>
  <w:style w:type="character" w:styleId="CommentReference">
    <w:name w:val="annotation reference"/>
    <w:basedOn w:val="DefaultParagraphFont"/>
    <w:rsid w:val="00880C70"/>
    <w:rPr>
      <w:sz w:val="16"/>
      <w:szCs w:val="16"/>
    </w:rPr>
  </w:style>
  <w:style w:type="paragraph" w:styleId="CommentText">
    <w:name w:val="annotation text"/>
    <w:basedOn w:val="Normal"/>
    <w:link w:val="CommentTextChar"/>
    <w:rsid w:val="00880C70"/>
    <w:rPr>
      <w:sz w:val="20"/>
    </w:rPr>
  </w:style>
  <w:style w:type="character" w:customStyle="1" w:styleId="CommentTextChar">
    <w:name w:val="Comment Text Char"/>
    <w:basedOn w:val="DefaultParagraphFont"/>
    <w:link w:val="CommentText"/>
    <w:rsid w:val="00880C70"/>
    <w:rPr>
      <w:snapToGrid w:val="0"/>
    </w:rPr>
  </w:style>
  <w:style w:type="paragraph" w:styleId="CommentSubject">
    <w:name w:val="annotation subject"/>
    <w:basedOn w:val="CommentText"/>
    <w:next w:val="CommentText"/>
    <w:link w:val="CommentSubjectChar"/>
    <w:rsid w:val="00880C70"/>
    <w:rPr>
      <w:b/>
      <w:bCs/>
    </w:rPr>
  </w:style>
  <w:style w:type="character" w:customStyle="1" w:styleId="CommentSubjectChar">
    <w:name w:val="Comment Subject Char"/>
    <w:basedOn w:val="CommentTextChar"/>
    <w:link w:val="CommentSubject"/>
    <w:rsid w:val="00880C70"/>
    <w:rPr>
      <w:b/>
      <w:bCs/>
      <w:snapToGrid w:val="0"/>
    </w:rPr>
  </w:style>
  <w:style w:type="character" w:customStyle="1" w:styleId="enumxml1">
    <w:name w:val="enumxml1"/>
    <w:basedOn w:val="DefaultParagraphFont"/>
    <w:rsid w:val="001E2A34"/>
    <w:rPr>
      <w:b/>
      <w:bCs/>
    </w:rPr>
  </w:style>
  <w:style w:type="character" w:customStyle="1" w:styleId="ptext-115">
    <w:name w:val="ptext-115"/>
    <w:basedOn w:val="DefaultParagraphFont"/>
    <w:rsid w:val="001E2A34"/>
  </w:style>
  <w:style w:type="paragraph" w:styleId="Revision">
    <w:name w:val="Revision"/>
    <w:hidden/>
    <w:uiPriority w:val="99"/>
    <w:semiHidden/>
    <w:rsid w:val="00787FE2"/>
    <w:rPr>
      <w:snapToGrid w:val="0"/>
      <w:sz w:val="24"/>
    </w:rPr>
  </w:style>
  <w:style w:type="character" w:customStyle="1" w:styleId="HeaderChar">
    <w:name w:val="Header Char"/>
    <w:link w:val="Header"/>
    <w:uiPriority w:val="99"/>
    <w:locked/>
    <w:rsid w:val="00E3123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0572">
      <w:bodyDiv w:val="1"/>
      <w:marLeft w:val="0"/>
      <w:marRight w:val="0"/>
      <w:marTop w:val="0"/>
      <w:marBottom w:val="0"/>
      <w:divBdr>
        <w:top w:val="none" w:sz="0" w:space="0" w:color="auto"/>
        <w:left w:val="none" w:sz="0" w:space="0" w:color="auto"/>
        <w:bottom w:val="none" w:sz="0" w:space="0" w:color="auto"/>
        <w:right w:val="none" w:sz="0" w:space="0" w:color="auto"/>
      </w:divBdr>
    </w:div>
    <w:div w:id="169561066">
      <w:bodyDiv w:val="1"/>
      <w:marLeft w:val="0"/>
      <w:marRight w:val="0"/>
      <w:marTop w:val="30"/>
      <w:marBottom w:val="750"/>
      <w:divBdr>
        <w:top w:val="none" w:sz="0" w:space="0" w:color="auto"/>
        <w:left w:val="none" w:sz="0" w:space="0" w:color="auto"/>
        <w:bottom w:val="none" w:sz="0" w:space="0" w:color="auto"/>
        <w:right w:val="none" w:sz="0" w:space="0" w:color="auto"/>
      </w:divBdr>
      <w:divsChild>
        <w:div w:id="640042494">
          <w:marLeft w:val="0"/>
          <w:marRight w:val="0"/>
          <w:marTop w:val="0"/>
          <w:marBottom w:val="0"/>
          <w:divBdr>
            <w:top w:val="none" w:sz="0" w:space="0" w:color="auto"/>
            <w:left w:val="none" w:sz="0" w:space="0" w:color="auto"/>
            <w:bottom w:val="none" w:sz="0" w:space="0" w:color="auto"/>
            <w:right w:val="none" w:sz="0" w:space="0" w:color="auto"/>
          </w:divBdr>
        </w:div>
      </w:divsChild>
    </w:div>
    <w:div w:id="641009106">
      <w:bodyDiv w:val="1"/>
      <w:marLeft w:val="0"/>
      <w:marRight w:val="0"/>
      <w:marTop w:val="0"/>
      <w:marBottom w:val="0"/>
      <w:divBdr>
        <w:top w:val="none" w:sz="0" w:space="0" w:color="auto"/>
        <w:left w:val="none" w:sz="0" w:space="0" w:color="auto"/>
        <w:bottom w:val="none" w:sz="0" w:space="0" w:color="auto"/>
        <w:right w:val="none" w:sz="0" w:space="0" w:color="auto"/>
      </w:divBdr>
    </w:div>
    <w:div w:id="820122749">
      <w:bodyDiv w:val="1"/>
      <w:marLeft w:val="0"/>
      <w:marRight w:val="0"/>
      <w:marTop w:val="0"/>
      <w:marBottom w:val="0"/>
      <w:divBdr>
        <w:top w:val="none" w:sz="0" w:space="0" w:color="auto"/>
        <w:left w:val="none" w:sz="0" w:space="0" w:color="auto"/>
        <w:bottom w:val="none" w:sz="0" w:space="0" w:color="auto"/>
        <w:right w:val="none" w:sz="0" w:space="0" w:color="auto"/>
      </w:divBdr>
    </w:div>
    <w:div w:id="1972469017">
      <w:bodyDiv w:val="1"/>
      <w:marLeft w:val="0"/>
      <w:marRight w:val="0"/>
      <w:marTop w:val="0"/>
      <w:marBottom w:val="0"/>
      <w:divBdr>
        <w:top w:val="none" w:sz="0" w:space="0" w:color="auto"/>
        <w:left w:val="none" w:sz="0" w:space="0" w:color="auto"/>
        <w:bottom w:val="none" w:sz="0" w:space="0" w:color="auto"/>
        <w:right w:val="none" w:sz="0" w:space="0" w:color="auto"/>
      </w:divBdr>
    </w:div>
    <w:div w:id="20242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mcpr.state.nm.us/nmac/parts/title20/20.002.003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MONITORING PROTOCOL</vt:lpstr>
    </vt:vector>
  </TitlesOfParts>
  <Company>New Mexico Environment Department</Company>
  <LinksUpToDate>false</LinksUpToDate>
  <CharactersWithSpaces>9647</CharactersWithSpaces>
  <SharedDoc>false</SharedDoc>
  <HLinks>
    <vt:vector size="6" baseType="variant">
      <vt:variant>
        <vt:i4>7929906</vt:i4>
      </vt:variant>
      <vt:variant>
        <vt:i4>0</vt:i4>
      </vt:variant>
      <vt:variant>
        <vt:i4>0</vt:i4>
      </vt:variant>
      <vt:variant>
        <vt:i4>5</vt:i4>
      </vt:variant>
      <vt:variant>
        <vt:lpwstr>http://www.nmcpr.state.nm.us/nmac/parts/title20/20.002.0038.htm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PROTOCOL</dc:title>
  <dc:creator>sandra.duque</dc:creator>
  <cp:lastModifiedBy>Cristina Eads</cp:lastModifiedBy>
  <cp:revision>2</cp:revision>
  <cp:lastPrinted>2013-06-24T22:14:00Z</cp:lastPrinted>
  <dcterms:created xsi:type="dcterms:W3CDTF">2019-05-30T21:36:00Z</dcterms:created>
  <dcterms:modified xsi:type="dcterms:W3CDTF">2019-05-30T21:36:00Z</dcterms:modified>
</cp:coreProperties>
</file>