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AF5D4" w14:textId="77777777" w:rsidR="00E217CE" w:rsidRDefault="00E217CE" w:rsidP="00E217CE">
      <w:pPr>
        <w:spacing w:line="240" w:lineRule="exact"/>
        <w:jc w:val="center"/>
        <w:rPr>
          <w:b/>
          <w:sz w:val="24"/>
        </w:rPr>
      </w:pPr>
      <w:bookmarkStart w:id="0" w:name="_GoBack"/>
      <w:bookmarkEnd w:id="0"/>
      <w:r>
        <w:rPr>
          <w:b/>
          <w:sz w:val="24"/>
        </w:rPr>
        <w:t>NEW MEXICO AIR QUALITY BUREAU</w:t>
      </w:r>
    </w:p>
    <w:p w14:paraId="26F5A062" w14:textId="77777777" w:rsidR="00240ECD" w:rsidRPr="00240ECD" w:rsidRDefault="00240ECD" w:rsidP="00240ECD">
      <w:pPr>
        <w:spacing w:line="240" w:lineRule="exact"/>
        <w:jc w:val="center"/>
        <w:rPr>
          <w:b/>
          <w:sz w:val="24"/>
        </w:rPr>
      </w:pPr>
      <w:r w:rsidRPr="00240ECD">
        <w:rPr>
          <w:b/>
          <w:sz w:val="24"/>
        </w:rPr>
        <w:t xml:space="preserve">NSR &amp; TV: </w:t>
      </w:r>
      <w:r>
        <w:rPr>
          <w:b/>
          <w:sz w:val="24"/>
        </w:rPr>
        <w:t>TURBINE</w:t>
      </w:r>
      <w:r w:rsidRPr="00240ECD">
        <w:rPr>
          <w:b/>
          <w:sz w:val="24"/>
        </w:rPr>
        <w:t xml:space="preserve"> MONITORING PROTOCOL – </w:t>
      </w:r>
    </w:p>
    <w:p w14:paraId="38168553" w14:textId="77777777" w:rsidR="00240ECD" w:rsidRPr="00240ECD" w:rsidRDefault="00240ECD" w:rsidP="00240ECD">
      <w:pPr>
        <w:spacing w:line="240" w:lineRule="exact"/>
        <w:jc w:val="center"/>
        <w:rPr>
          <w:b/>
          <w:sz w:val="24"/>
        </w:rPr>
      </w:pPr>
      <w:r w:rsidRPr="00240ECD">
        <w:rPr>
          <w:b/>
          <w:sz w:val="24"/>
        </w:rPr>
        <w:t>PERMIT TEMPLATE LANGUAGE</w:t>
      </w:r>
    </w:p>
    <w:p w14:paraId="5305A40F" w14:textId="297C007C" w:rsidR="00240ECD" w:rsidRPr="00240ECD" w:rsidRDefault="00240ECD" w:rsidP="00240ECD">
      <w:pPr>
        <w:spacing w:line="240" w:lineRule="exact"/>
        <w:jc w:val="center"/>
        <w:rPr>
          <w:b/>
          <w:sz w:val="24"/>
        </w:rPr>
      </w:pPr>
      <w:r w:rsidRPr="00240ECD">
        <w:rPr>
          <w:b/>
          <w:sz w:val="24"/>
        </w:rPr>
        <w:t xml:space="preserve">Version: </w:t>
      </w:r>
      <w:r w:rsidR="00B14007">
        <w:rPr>
          <w:b/>
          <w:sz w:val="24"/>
        </w:rPr>
        <w:t>May 2</w:t>
      </w:r>
      <w:r w:rsidR="004D468A">
        <w:rPr>
          <w:b/>
          <w:sz w:val="24"/>
        </w:rPr>
        <w:t>3</w:t>
      </w:r>
      <w:r w:rsidR="00B14007">
        <w:rPr>
          <w:b/>
          <w:sz w:val="24"/>
        </w:rPr>
        <w:t>, 2016</w:t>
      </w:r>
    </w:p>
    <w:p w14:paraId="1A73A44D" w14:textId="77777777" w:rsidR="00135816" w:rsidRPr="00240ECD" w:rsidRDefault="00135816">
      <w:pPr>
        <w:tabs>
          <w:tab w:val="left" w:pos="-263"/>
        </w:tabs>
        <w:rPr>
          <w:rFonts w:eastAsia="MS Mincho"/>
          <w:sz w:val="24"/>
        </w:rPr>
      </w:pPr>
    </w:p>
    <w:p w14:paraId="6172D112" w14:textId="5EE66B9A" w:rsidR="000A5F7D" w:rsidRPr="000A5F7D" w:rsidRDefault="000A5F7D" w:rsidP="000A5F7D">
      <w:pPr>
        <w:spacing w:line="240" w:lineRule="exact"/>
        <w:rPr>
          <w:sz w:val="24"/>
        </w:rPr>
      </w:pPr>
      <w:bookmarkStart w:id="1" w:name="_Toc229187462"/>
      <w:r w:rsidRPr="000A5F7D">
        <w:rPr>
          <w:sz w:val="24"/>
          <w:u w:val="single"/>
        </w:rPr>
        <w:t>Purpose.</w:t>
      </w:r>
      <w:r w:rsidRPr="000A5F7D">
        <w:rPr>
          <w:sz w:val="24"/>
        </w:rPr>
        <w:t xml:space="preserve">  These guidelines are intended to help permit specialists include adequate monitoring conditions into construction or operating permits in accordance with 20.2.72.210 NMAC or 20.2.70.302 NMAC.</w:t>
      </w:r>
      <w:r w:rsidR="001B6701">
        <w:rPr>
          <w:sz w:val="24"/>
        </w:rPr>
        <w:t xml:space="preserve"> </w:t>
      </w:r>
      <w:r w:rsidRPr="000A5F7D">
        <w:rPr>
          <w:sz w:val="24"/>
        </w:rPr>
        <w:t xml:space="preserve"> These guidelines also help ensure consistency in monitoring conditions for all permits regardless of which permit specialist is assigned the permit. </w:t>
      </w:r>
    </w:p>
    <w:p w14:paraId="0CCB9B19" w14:textId="77777777" w:rsidR="000A5F7D" w:rsidRPr="000A5F7D" w:rsidRDefault="000A5F7D" w:rsidP="000A5F7D">
      <w:pPr>
        <w:spacing w:line="240" w:lineRule="exact"/>
        <w:rPr>
          <w:sz w:val="24"/>
        </w:rPr>
      </w:pPr>
    </w:p>
    <w:p w14:paraId="7A09D5B6" w14:textId="77777777" w:rsidR="000A5F7D" w:rsidRPr="000A5F7D" w:rsidRDefault="000A5F7D" w:rsidP="000A5F7D">
      <w:pPr>
        <w:spacing w:line="240" w:lineRule="exact"/>
        <w:rPr>
          <w:sz w:val="24"/>
        </w:rPr>
      </w:pPr>
      <w:r w:rsidRPr="000A5F7D">
        <w:rPr>
          <w:sz w:val="24"/>
        </w:rPr>
        <w:t xml:space="preserve">All </w:t>
      </w:r>
      <w:r>
        <w:rPr>
          <w:sz w:val="24"/>
        </w:rPr>
        <w:t>turbines</w:t>
      </w:r>
      <w:r w:rsidRPr="000A5F7D">
        <w:rPr>
          <w:sz w:val="24"/>
        </w:rPr>
        <w:t xml:space="preserve"> are combustion devices subject to 20.2.61 NMAC and opacity monitoring, unless they qualify for the exemption under 20.2.61.109 NMAC (see permit template for opacity language). </w:t>
      </w:r>
    </w:p>
    <w:p w14:paraId="665899D5" w14:textId="77777777" w:rsidR="000A5F7D" w:rsidRPr="000A5F7D" w:rsidRDefault="000A5F7D" w:rsidP="000A5F7D">
      <w:pPr>
        <w:spacing w:line="240" w:lineRule="exact"/>
        <w:rPr>
          <w:sz w:val="24"/>
        </w:rPr>
      </w:pPr>
    </w:p>
    <w:p w14:paraId="70125DD0" w14:textId="77777777" w:rsidR="000A5F7D" w:rsidRPr="000A5F7D" w:rsidRDefault="000A5F7D" w:rsidP="000A5F7D">
      <w:pPr>
        <w:pStyle w:val="Title"/>
        <w:jc w:val="left"/>
        <w:rPr>
          <w:color w:val="FF0000"/>
          <w:u w:val="none"/>
        </w:rPr>
      </w:pPr>
      <w:r w:rsidRPr="000A5F7D">
        <w:rPr>
          <w:color w:val="FF0000"/>
          <w:u w:val="none"/>
        </w:rPr>
        <w:t>[NOTE: Each permit writer shall review and adjust the requirements below according to the specific facility circumstances.]</w:t>
      </w:r>
    </w:p>
    <w:p w14:paraId="0BA5E1D0" w14:textId="77777777" w:rsidR="001141BC" w:rsidRPr="000A5F7D" w:rsidRDefault="001141BC" w:rsidP="003A6F10">
      <w:pPr>
        <w:pStyle w:val="Heading2"/>
        <w:autoSpaceDE/>
        <w:autoSpaceDN/>
        <w:adjustRightInd/>
        <w:spacing w:before="360"/>
      </w:pPr>
      <w:r w:rsidRPr="000A5F7D">
        <w:t>Turbines</w:t>
      </w:r>
      <w:bookmarkEnd w:id="1"/>
    </w:p>
    <w:p w14:paraId="75D495BE" w14:textId="77777777" w:rsidR="00AA2ABE" w:rsidRPr="00B76798" w:rsidRDefault="00AA2ABE" w:rsidP="00AA2ABE">
      <w:pPr>
        <w:pStyle w:val="AQBCLvl-1"/>
        <w:numPr>
          <w:ilvl w:val="0"/>
          <w:numId w:val="10"/>
        </w:numPr>
        <w:tabs>
          <w:tab w:val="clear" w:pos="936"/>
          <w:tab w:val="num" w:pos="1123"/>
          <w:tab w:val="num" w:pos="1206"/>
        </w:tabs>
        <w:ind w:left="1206"/>
      </w:pPr>
      <w:r>
        <w:t xml:space="preserve">Maintenance and Repair </w:t>
      </w:r>
      <w:r w:rsidRPr="00B76798">
        <w:t>Monitoring (Units A-1 and A-2)</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AA2ABE" w:rsidRPr="00AA2ABE" w14:paraId="3F51B40F" w14:textId="77777777" w:rsidTr="008003C6">
        <w:trPr>
          <w:jc w:val="center"/>
        </w:trPr>
        <w:tc>
          <w:tcPr>
            <w:tcW w:w="9360" w:type="dxa"/>
          </w:tcPr>
          <w:p w14:paraId="7781882A" w14:textId="249121D0" w:rsidR="00AA2ABE" w:rsidRPr="00AA2ABE" w:rsidRDefault="00AA2ABE" w:rsidP="008003C6">
            <w:pPr>
              <w:spacing w:before="120"/>
              <w:rPr>
                <w:sz w:val="24"/>
              </w:rPr>
            </w:pPr>
            <w:r w:rsidRPr="00AA2ABE">
              <w:rPr>
                <w:b/>
                <w:sz w:val="24"/>
              </w:rPr>
              <w:t xml:space="preserve">Requirement: </w:t>
            </w:r>
            <w:r w:rsidR="00C11E92" w:rsidRPr="008665F9">
              <w:rPr>
                <w:sz w:val="24"/>
              </w:rPr>
              <w:t>Compliance with the allowable emission limits in Table 106.A shall be demonstrated by properly maintaining and repairing the units.</w:t>
            </w:r>
          </w:p>
        </w:tc>
      </w:tr>
      <w:tr w:rsidR="00AA2ABE" w:rsidRPr="00AA2ABE" w14:paraId="234F5731" w14:textId="77777777" w:rsidTr="008003C6">
        <w:trPr>
          <w:jc w:val="center"/>
        </w:trPr>
        <w:tc>
          <w:tcPr>
            <w:tcW w:w="9360" w:type="dxa"/>
          </w:tcPr>
          <w:p w14:paraId="3C758694" w14:textId="77777777" w:rsidR="00AA2ABE" w:rsidRPr="00AA2ABE" w:rsidRDefault="00AA2ABE" w:rsidP="008003C6">
            <w:pPr>
              <w:tabs>
                <w:tab w:val="left" w:pos="-720"/>
              </w:tabs>
              <w:spacing w:before="120"/>
              <w:rPr>
                <w:sz w:val="24"/>
              </w:rPr>
            </w:pPr>
            <w:r w:rsidRPr="00AA2ABE">
              <w:rPr>
                <w:b/>
                <w:sz w:val="24"/>
              </w:rPr>
              <w:t>Monitoring:</w:t>
            </w:r>
            <w:r w:rsidRPr="00AA2ABE">
              <w:rPr>
                <w:sz w:val="24"/>
              </w:rPr>
              <w:t xml:space="preserve"> Maintenance and repair shall meet the minimum manufacturer's or permittee's recommended maintenance schedule. </w:t>
            </w:r>
            <w:r w:rsidR="000962CF">
              <w:rPr>
                <w:sz w:val="24"/>
              </w:rPr>
              <w:t xml:space="preserve"> </w:t>
            </w:r>
            <w:r w:rsidRPr="00AA2ABE">
              <w:rPr>
                <w:sz w:val="24"/>
              </w:rPr>
              <w:t>Activities that involve maintenance, adjustment, replacement, or repair of functional components with the potential to affect the operation of an emission unit shall be documented as they occur for the following events:</w:t>
            </w:r>
          </w:p>
          <w:p w14:paraId="03B8C186" w14:textId="77777777" w:rsidR="00AA2ABE" w:rsidRPr="00AA2ABE" w:rsidRDefault="00AA2ABE" w:rsidP="008003C6">
            <w:pPr>
              <w:tabs>
                <w:tab w:val="left" w:pos="-720"/>
              </w:tabs>
              <w:spacing w:before="120"/>
              <w:ind w:left="12"/>
              <w:rPr>
                <w:sz w:val="24"/>
              </w:rPr>
            </w:pPr>
            <w:r w:rsidRPr="00AA2ABE">
              <w:rPr>
                <w:sz w:val="24"/>
              </w:rPr>
              <w:t>(1)  Routine maintenance that takes a unit out of service for more than two hours during any twenty-four hour period.</w:t>
            </w:r>
          </w:p>
          <w:p w14:paraId="61E4D86A" w14:textId="77777777" w:rsidR="00AA2ABE" w:rsidRPr="00AA2ABE" w:rsidRDefault="00AA2ABE" w:rsidP="008003C6">
            <w:pPr>
              <w:tabs>
                <w:tab w:val="left" w:pos="-720"/>
              </w:tabs>
              <w:spacing w:before="120"/>
              <w:ind w:left="12"/>
              <w:rPr>
                <w:sz w:val="24"/>
              </w:rPr>
            </w:pPr>
            <w:r w:rsidRPr="00AA2ABE">
              <w:rPr>
                <w:sz w:val="24"/>
              </w:rPr>
              <w:t>(2)  Unscheduled repairs that require a unit to be taken out of service for more than two hours in any twenty-four hour period.</w:t>
            </w:r>
          </w:p>
        </w:tc>
      </w:tr>
      <w:tr w:rsidR="00AA2ABE" w:rsidRPr="00AA2ABE" w14:paraId="21F7B2EA" w14:textId="77777777" w:rsidTr="008003C6">
        <w:trPr>
          <w:jc w:val="center"/>
        </w:trPr>
        <w:tc>
          <w:tcPr>
            <w:tcW w:w="9360" w:type="dxa"/>
          </w:tcPr>
          <w:p w14:paraId="35D0AFDE" w14:textId="33B29D12" w:rsidR="00AA2ABE" w:rsidRPr="00AA2ABE" w:rsidRDefault="00AA2ABE" w:rsidP="008003C6">
            <w:pPr>
              <w:spacing w:before="120"/>
              <w:rPr>
                <w:sz w:val="24"/>
              </w:rPr>
            </w:pPr>
            <w:r w:rsidRPr="00AA2ABE">
              <w:rPr>
                <w:b/>
                <w:sz w:val="24"/>
              </w:rPr>
              <w:t>Recordkeeping:</w:t>
            </w:r>
            <w:r w:rsidRPr="00AA2ABE">
              <w:rPr>
                <w:sz w:val="24"/>
              </w:rPr>
              <w:t xml:space="preserve"> </w:t>
            </w:r>
            <w:r w:rsidR="00AE4C91" w:rsidRPr="00AE4C91">
              <w:rPr>
                <w:sz w:val="24"/>
              </w:rPr>
              <w:t>The permittee shall maintain records, including dates</w:t>
            </w:r>
            <w:r w:rsidR="000962CF">
              <w:rPr>
                <w:sz w:val="24"/>
              </w:rPr>
              <w:t>,</w:t>
            </w:r>
            <w:r w:rsidR="00AE4C91" w:rsidRPr="00AE4C91">
              <w:rPr>
                <w:sz w:val="24"/>
              </w:rPr>
              <w:t xml:space="preserve"> and maintenance activities conducted in accordance with Section B109. </w:t>
            </w:r>
            <w:r w:rsidR="000962CF">
              <w:rPr>
                <w:sz w:val="24"/>
              </w:rPr>
              <w:t xml:space="preserve"> </w:t>
            </w:r>
            <w:r w:rsidR="00AE4C91" w:rsidRPr="00AE4C91">
              <w:rPr>
                <w:sz w:val="24"/>
              </w:rPr>
              <w:t>The permittee shall also maintain a copy of the manufacturer’s or permittee’s recommended maintenance schedule.</w:t>
            </w:r>
          </w:p>
        </w:tc>
      </w:tr>
      <w:tr w:rsidR="00AA2ABE" w:rsidRPr="00AA2ABE" w14:paraId="6BD50CF0" w14:textId="77777777" w:rsidTr="008003C6">
        <w:trPr>
          <w:jc w:val="center"/>
        </w:trPr>
        <w:tc>
          <w:tcPr>
            <w:tcW w:w="9360" w:type="dxa"/>
          </w:tcPr>
          <w:p w14:paraId="369777A0" w14:textId="77777777" w:rsidR="00AA2ABE" w:rsidRPr="00AA2ABE" w:rsidRDefault="00AA2ABE" w:rsidP="008003C6">
            <w:pPr>
              <w:spacing w:before="120"/>
              <w:rPr>
                <w:sz w:val="24"/>
              </w:rPr>
            </w:pPr>
            <w:r w:rsidRPr="00AA2ABE">
              <w:rPr>
                <w:b/>
                <w:sz w:val="24"/>
              </w:rPr>
              <w:t>Reporting:</w:t>
            </w:r>
            <w:r w:rsidRPr="00AA2ABE">
              <w:rPr>
                <w:sz w:val="24"/>
              </w:rPr>
              <w:t xml:space="preserve"> The permittee shall report in accordance with Section B110. </w:t>
            </w:r>
          </w:p>
        </w:tc>
      </w:tr>
    </w:tbl>
    <w:p w14:paraId="675E4EE4" w14:textId="77777777" w:rsidR="001141BC" w:rsidRPr="003A6F10" w:rsidRDefault="001141BC" w:rsidP="003A6F10">
      <w:pPr>
        <w:pStyle w:val="AQBCLvl-1"/>
        <w:tabs>
          <w:tab w:val="clear" w:pos="576"/>
          <w:tab w:val="num" w:pos="1080"/>
        </w:tabs>
        <w:ind w:left="1080" w:hanging="540"/>
        <w:rPr>
          <w:rFonts w:eastAsia="Calibri"/>
        </w:rPr>
      </w:pPr>
      <w:r w:rsidRPr="003A6F10">
        <w:rPr>
          <w:rFonts w:eastAsia="Calibri"/>
        </w:rPr>
        <w:t>Periodic Emissions Tests</w:t>
      </w:r>
      <w:r w:rsidR="00652BA4" w:rsidRPr="003A6F10">
        <w:rPr>
          <w:rFonts w:eastAsia="Calibri"/>
        </w:rPr>
        <w:t xml:space="preserve"> (</w:t>
      </w:r>
      <w:r w:rsidRPr="003A6F10">
        <w:rPr>
          <w:rFonts w:eastAsia="Calibri"/>
        </w:rPr>
        <w:t>Unit(s) X, Y, and Z</w:t>
      </w:r>
      <w:r w:rsidR="00652BA4" w:rsidRPr="003A6F10">
        <w:rPr>
          <w:rFonts w:eastAsia="Calibri"/>
        </w:rPr>
        <w: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B908EC" w:rsidRPr="001475C0" w14:paraId="7592E8D1" w14:textId="77777777" w:rsidTr="001475C0">
        <w:trPr>
          <w:jc w:val="center"/>
        </w:trPr>
        <w:tc>
          <w:tcPr>
            <w:tcW w:w="9360" w:type="dxa"/>
          </w:tcPr>
          <w:p w14:paraId="28057CD6" w14:textId="15DB356B" w:rsidR="00B908EC" w:rsidRPr="00A71C38" w:rsidRDefault="00B908EC" w:rsidP="007528C2">
            <w:pPr>
              <w:spacing w:before="120"/>
              <w:jc w:val="both"/>
              <w:rPr>
                <w:sz w:val="24"/>
              </w:rPr>
            </w:pPr>
            <w:r w:rsidRPr="00A71C38">
              <w:rPr>
                <w:b/>
                <w:sz w:val="24"/>
              </w:rPr>
              <w:t>Requirement:</w:t>
            </w:r>
            <w:r w:rsidRPr="00A71C38">
              <w:rPr>
                <w:sz w:val="24"/>
              </w:rPr>
              <w:t xml:space="preserve"> </w:t>
            </w:r>
            <w:r w:rsidR="00DC4173" w:rsidRPr="00A71C38">
              <w:rPr>
                <w:rFonts w:eastAsia="MS Mincho"/>
                <w:sz w:val="24"/>
              </w:rPr>
              <w:t xml:space="preserve">Compliance with the allowable emission limits in Table 106.A shall be demonstrated by </w:t>
            </w:r>
            <w:r w:rsidR="00592D2F" w:rsidRPr="00A71C38">
              <w:rPr>
                <w:rFonts w:eastAsia="MS Mincho"/>
                <w:sz w:val="24"/>
              </w:rPr>
              <w:t xml:space="preserve">conducting </w:t>
            </w:r>
            <w:r w:rsidR="000E0CD8" w:rsidRPr="00A71C38">
              <w:rPr>
                <w:rFonts w:eastAsia="MS Mincho"/>
                <w:sz w:val="24"/>
              </w:rPr>
              <w:t>periodic</w:t>
            </w:r>
            <w:r w:rsidR="00DC4173" w:rsidRPr="00A71C38">
              <w:rPr>
                <w:rFonts w:eastAsia="MS Mincho"/>
                <w:sz w:val="24"/>
              </w:rPr>
              <w:t xml:space="preserve"> emission tests</w:t>
            </w:r>
            <w:r w:rsidR="00592D2F" w:rsidRPr="00A71C38">
              <w:rPr>
                <w:rFonts w:eastAsia="MS Mincho"/>
                <w:sz w:val="24"/>
              </w:rPr>
              <w:t xml:space="preserve"> during the monitoring period</w:t>
            </w:r>
            <w:r w:rsidR="00DC4173" w:rsidRPr="00A71C38">
              <w:rPr>
                <w:rFonts w:eastAsia="MS Mincho"/>
                <w:sz w:val="24"/>
              </w:rPr>
              <w:t>.</w:t>
            </w:r>
          </w:p>
        </w:tc>
      </w:tr>
      <w:tr w:rsidR="00B908EC" w:rsidRPr="001475C0" w14:paraId="50A4F072" w14:textId="77777777" w:rsidTr="001475C0">
        <w:trPr>
          <w:jc w:val="center"/>
        </w:trPr>
        <w:tc>
          <w:tcPr>
            <w:tcW w:w="9360" w:type="dxa"/>
          </w:tcPr>
          <w:p w14:paraId="1FFA9A48" w14:textId="0CB333AC" w:rsidR="00603CE9" w:rsidRPr="00A71C38" w:rsidRDefault="00B908EC" w:rsidP="007528C2">
            <w:pPr>
              <w:tabs>
                <w:tab w:val="left" w:pos="-263"/>
              </w:tabs>
              <w:spacing w:before="120"/>
              <w:jc w:val="both"/>
              <w:rPr>
                <w:rFonts w:eastAsia="MS Mincho"/>
                <w:sz w:val="24"/>
              </w:rPr>
            </w:pPr>
            <w:r w:rsidRPr="00A71C38">
              <w:rPr>
                <w:b/>
                <w:sz w:val="24"/>
              </w:rPr>
              <w:t>Monitoring:</w:t>
            </w:r>
            <w:r w:rsidRPr="00A71C38">
              <w:rPr>
                <w:sz w:val="24"/>
              </w:rPr>
              <w:t xml:space="preserve"> </w:t>
            </w:r>
            <w:r w:rsidRPr="00A71C38">
              <w:rPr>
                <w:rFonts w:eastAsia="MS Mincho"/>
                <w:sz w:val="24"/>
              </w:rPr>
              <w:t xml:space="preserve">The permittee shall test using a portable analyzer </w:t>
            </w:r>
            <w:r w:rsidR="001979D0" w:rsidRPr="00A71C38">
              <w:rPr>
                <w:rFonts w:eastAsia="MS Mincho"/>
                <w:sz w:val="24"/>
              </w:rPr>
              <w:t>or EPA Reference Methods</w:t>
            </w:r>
            <w:r w:rsidR="001979D0" w:rsidRPr="00A71C38">
              <w:rPr>
                <w:rFonts w:eastAsia="MS Mincho"/>
              </w:rPr>
              <w:t xml:space="preserve"> </w:t>
            </w:r>
            <w:r w:rsidRPr="00A71C38">
              <w:rPr>
                <w:rFonts w:eastAsia="MS Mincho"/>
                <w:sz w:val="24"/>
              </w:rPr>
              <w:t>subject to the requirements and limitations of Section B108</w:t>
            </w:r>
            <w:r w:rsidRPr="00A71C38">
              <w:rPr>
                <w:rFonts w:eastAsia="MS Mincho"/>
                <w:bCs/>
                <w:sz w:val="24"/>
              </w:rPr>
              <w:t>, General Monitoring Requirements</w:t>
            </w:r>
            <w:r w:rsidRPr="00A71C38">
              <w:rPr>
                <w:rFonts w:eastAsia="MS Mincho"/>
                <w:sz w:val="24"/>
              </w:rPr>
              <w:t xml:space="preserve">. </w:t>
            </w:r>
            <w:r w:rsidR="007C6F63" w:rsidRPr="00A71C38">
              <w:rPr>
                <w:rFonts w:eastAsia="MS Mincho"/>
                <w:sz w:val="24"/>
              </w:rPr>
              <w:t xml:space="preserve">Emission </w:t>
            </w:r>
            <w:r w:rsidRPr="00A71C38">
              <w:rPr>
                <w:rFonts w:eastAsia="MS Mincho"/>
                <w:sz w:val="24"/>
              </w:rPr>
              <w:t xml:space="preserve">testing </w:t>
            </w:r>
            <w:r w:rsidR="007C6F63" w:rsidRPr="00A71C38">
              <w:rPr>
                <w:rFonts w:eastAsia="MS Mincho"/>
                <w:sz w:val="24"/>
              </w:rPr>
              <w:t xml:space="preserve">is required for </w:t>
            </w:r>
            <w:r w:rsidRPr="00A71C38">
              <w:rPr>
                <w:rFonts w:eastAsia="MS Mincho"/>
                <w:sz w:val="24"/>
              </w:rPr>
              <w:t>NOx and CO,</w:t>
            </w:r>
            <w:r w:rsidRPr="00A71C38">
              <w:rPr>
                <w:rFonts w:eastAsia="MS Mincho"/>
                <w:color w:val="FF0000"/>
                <w:sz w:val="24"/>
              </w:rPr>
              <w:t xml:space="preserve"> [change reference to pollutants as necessary] </w:t>
            </w:r>
            <w:r w:rsidR="007C6F63" w:rsidRPr="00A71C38">
              <w:rPr>
                <w:rFonts w:eastAsia="MS Mincho"/>
                <w:sz w:val="24"/>
              </w:rPr>
              <w:t xml:space="preserve">and </w:t>
            </w:r>
            <w:r w:rsidRPr="00A71C38">
              <w:rPr>
                <w:rFonts w:eastAsia="MS Mincho"/>
                <w:sz w:val="24"/>
              </w:rPr>
              <w:t xml:space="preserve">shall be carried out as described below. </w:t>
            </w:r>
          </w:p>
          <w:p w14:paraId="6BFD7579" w14:textId="77777777" w:rsidR="00B908EC" w:rsidRPr="00A71C38" w:rsidRDefault="00B908EC" w:rsidP="007528C2">
            <w:pPr>
              <w:tabs>
                <w:tab w:val="left" w:pos="-263"/>
              </w:tabs>
              <w:spacing w:before="120"/>
              <w:jc w:val="both"/>
              <w:rPr>
                <w:b/>
                <w:sz w:val="24"/>
              </w:rPr>
            </w:pPr>
            <w:r w:rsidRPr="00A71C38">
              <w:rPr>
                <w:bCs/>
                <w:color w:val="FF0000"/>
                <w:sz w:val="24"/>
              </w:rPr>
              <w:t xml:space="preserve">[If the unit has VOC emission limits, include the following.]  </w:t>
            </w:r>
            <w:r w:rsidRPr="00A71C38">
              <w:rPr>
                <w:sz w:val="24"/>
              </w:rPr>
              <w:t xml:space="preserve">Test results that demonstrate compliance with the CO emission limits shall also be considered to demonstrate compliance </w:t>
            </w:r>
            <w:r w:rsidRPr="00A71C38">
              <w:rPr>
                <w:sz w:val="24"/>
              </w:rPr>
              <w:lastRenderedPageBreak/>
              <w:t>with the VOC emission limits.</w:t>
            </w:r>
          </w:p>
          <w:p w14:paraId="7590A16F" w14:textId="2F67A65A" w:rsidR="005F0990" w:rsidRPr="00A71C38" w:rsidRDefault="00013FC3" w:rsidP="004D6B06">
            <w:pPr>
              <w:pStyle w:val="BodyText"/>
              <w:numPr>
                <w:ilvl w:val="0"/>
                <w:numId w:val="19"/>
              </w:numPr>
              <w:tabs>
                <w:tab w:val="clear" w:pos="-263"/>
              </w:tabs>
              <w:spacing w:before="120" w:after="60"/>
              <w:ind w:left="331"/>
            </w:pPr>
            <w:r w:rsidRPr="00A71C38">
              <w:t xml:space="preserve">The </w:t>
            </w:r>
            <w:r w:rsidR="00592D2F" w:rsidRPr="00A71C38">
              <w:t>test</w:t>
            </w:r>
            <w:r w:rsidR="005F0990" w:rsidRPr="00A71C38">
              <w:t>ing shall be conducted as follows:</w:t>
            </w:r>
          </w:p>
          <w:p w14:paraId="488E108A" w14:textId="3DBE1A1F" w:rsidR="00B908EC" w:rsidRPr="00A71C38" w:rsidRDefault="005F0990" w:rsidP="004D6B06">
            <w:pPr>
              <w:pStyle w:val="BodyText"/>
              <w:numPr>
                <w:ilvl w:val="0"/>
                <w:numId w:val="18"/>
              </w:numPr>
              <w:tabs>
                <w:tab w:val="clear" w:pos="-263"/>
              </w:tabs>
              <w:spacing w:after="60"/>
              <w:ind w:left="691"/>
            </w:pPr>
            <w:r w:rsidRPr="00A71C38">
              <w:t xml:space="preserve">Testing </w:t>
            </w:r>
            <w:r w:rsidR="00A71D2F" w:rsidRPr="00A71C38">
              <w:t xml:space="preserve">frequency </w:t>
            </w:r>
            <w:r w:rsidR="00013FC3" w:rsidRPr="00A71C38">
              <w:t xml:space="preserve">shall be </w:t>
            </w:r>
            <w:r w:rsidR="006D0195" w:rsidRPr="00A71C38">
              <w:rPr>
                <w:bCs/>
                <w:color w:val="FF0000"/>
              </w:rPr>
              <w:t>once per</w:t>
            </w:r>
            <w:r w:rsidR="00AE5AB0" w:rsidRPr="00A71C38">
              <w:rPr>
                <w:bCs/>
                <w:color w:val="FF0000"/>
              </w:rPr>
              <w:t xml:space="preserve"> [</w:t>
            </w:r>
            <w:r w:rsidR="00013FC3" w:rsidRPr="00A71C38">
              <w:rPr>
                <w:bCs/>
                <w:color w:val="FF0000"/>
              </w:rPr>
              <w:t>month, quarter, or</w:t>
            </w:r>
            <w:r w:rsidR="00AE5AB0" w:rsidRPr="00A71C38">
              <w:rPr>
                <w:bCs/>
                <w:color w:val="FF0000"/>
              </w:rPr>
              <w:t xml:space="preserve"> year</w:t>
            </w:r>
            <w:r w:rsidR="00013FC3" w:rsidRPr="00A71C38">
              <w:rPr>
                <w:bCs/>
                <w:color w:val="FF0000"/>
              </w:rPr>
              <w:t>]</w:t>
            </w:r>
            <w:r w:rsidR="00A71C38">
              <w:rPr>
                <w:b/>
                <w:bCs/>
                <w:color w:val="FF0000"/>
              </w:rPr>
              <w:t>.</w:t>
            </w:r>
          </w:p>
          <w:p w14:paraId="0D1D69A9" w14:textId="77777777" w:rsidR="005F0990" w:rsidRPr="00A71C38" w:rsidRDefault="00A0478F" w:rsidP="00A71C38">
            <w:pPr>
              <w:pStyle w:val="BodyText"/>
              <w:numPr>
                <w:ilvl w:val="0"/>
                <w:numId w:val="18"/>
              </w:numPr>
              <w:tabs>
                <w:tab w:val="clear" w:pos="-263"/>
              </w:tabs>
              <w:ind w:left="697"/>
            </w:pPr>
            <w:r w:rsidRPr="00A71C38">
              <w:t>The monitor</w:t>
            </w:r>
            <w:r w:rsidR="005F0990" w:rsidRPr="00A71C38">
              <w:t xml:space="preserve">ing period is defined as </w:t>
            </w:r>
            <w:r w:rsidR="005F0990" w:rsidRPr="00A71C38">
              <w:rPr>
                <w:color w:val="FF0000"/>
              </w:rPr>
              <w:t>[a calendar month, a calendar quarter, a calendar year], or [a custom schedule requested by the permittee]</w:t>
            </w:r>
            <w:r w:rsidR="005F0990" w:rsidRPr="00A71C38">
              <w:t>.</w:t>
            </w:r>
          </w:p>
          <w:p w14:paraId="3C6B1E9C" w14:textId="77777777" w:rsidR="00B908EC" w:rsidRPr="00A71C38" w:rsidRDefault="00B908EC" w:rsidP="007528C2">
            <w:pPr>
              <w:pStyle w:val="BodyText"/>
              <w:spacing w:before="120"/>
              <w:jc w:val="both"/>
            </w:pPr>
            <w:r w:rsidRPr="00A71C38">
              <w:t>(</w:t>
            </w:r>
            <w:r w:rsidR="00603CE9" w:rsidRPr="00A71C38">
              <w:t>2</w:t>
            </w:r>
            <w:r w:rsidRPr="00A71C38">
              <w:t>) The first test shall occur within the first monitoring period occurring after permit issuance.</w:t>
            </w:r>
            <w:r w:rsidR="00D92EFC" w:rsidRPr="00A71C38">
              <w:t xml:space="preserve"> </w:t>
            </w:r>
            <w:r w:rsidR="00D92EFC" w:rsidRPr="00A71C38">
              <w:rPr>
                <w:b/>
                <w:color w:val="FF0000"/>
              </w:rPr>
              <w:t>[or if testing already required]</w:t>
            </w:r>
            <w:r w:rsidR="00D92EFC" w:rsidRPr="00A71C38">
              <w:rPr>
                <w:color w:val="FF0000"/>
              </w:rPr>
              <w:t xml:space="preserve"> The tests shall continue based on the existing testing schedule</w:t>
            </w:r>
            <w:r w:rsidR="00D92EFC" w:rsidRPr="00A71C38">
              <w:t>.</w:t>
            </w:r>
          </w:p>
          <w:p w14:paraId="74821292" w14:textId="4EED6069" w:rsidR="00B908EC" w:rsidRPr="00A71C38" w:rsidRDefault="00B908EC" w:rsidP="007528C2">
            <w:pPr>
              <w:pStyle w:val="BodyText"/>
              <w:spacing w:before="120"/>
              <w:jc w:val="both"/>
            </w:pPr>
            <w:r w:rsidRPr="00A71C38">
              <w:t>(</w:t>
            </w:r>
            <w:r w:rsidR="00603CE9" w:rsidRPr="00A71C38">
              <w:t>3</w:t>
            </w:r>
            <w:r w:rsidRPr="00A71C38">
              <w:t>)</w:t>
            </w:r>
            <w:r w:rsidR="00452783" w:rsidRPr="00A71C38">
              <w:t xml:space="preserve"> </w:t>
            </w:r>
            <w:r w:rsidRPr="00A71C38">
              <w:t xml:space="preserve">All subsequent </w:t>
            </w:r>
            <w:r w:rsidR="00A0478F" w:rsidRPr="00A71C38">
              <w:t>testi</w:t>
            </w:r>
            <w:r w:rsidRPr="00A71C38">
              <w:t>ng shall occur in each succeeding monitoring period. No two monitoring events shall occur closer together in time than 25% of a monitoring period.</w:t>
            </w:r>
          </w:p>
          <w:p w14:paraId="3D0F6B51" w14:textId="77777777" w:rsidR="00B908EC" w:rsidRPr="00A71C38" w:rsidRDefault="00B908EC" w:rsidP="007528C2">
            <w:pPr>
              <w:pStyle w:val="BodyText"/>
              <w:spacing w:before="120"/>
              <w:jc w:val="both"/>
            </w:pPr>
            <w:r w:rsidRPr="00A71C38">
              <w:t>(</w:t>
            </w:r>
            <w:r w:rsidR="00603CE9" w:rsidRPr="00A71C38">
              <w:t>4</w:t>
            </w:r>
            <w:r w:rsidRPr="00A71C38">
              <w:t xml:space="preserve">) </w:t>
            </w:r>
            <w:r w:rsidR="00603CE9" w:rsidRPr="00A71C38">
              <w:t>The permittee shall follow</w:t>
            </w:r>
            <w:r w:rsidRPr="00A71C38">
              <w:t xml:space="preserve"> the General Testing Procedures of Section B111. </w:t>
            </w:r>
          </w:p>
          <w:p w14:paraId="1394DB12" w14:textId="77777777" w:rsidR="00687F6F" w:rsidRPr="00A71C38" w:rsidRDefault="00687F6F" w:rsidP="007528C2">
            <w:pPr>
              <w:pStyle w:val="BodyText"/>
              <w:spacing w:before="120"/>
              <w:jc w:val="both"/>
            </w:pPr>
            <w:r w:rsidRPr="00A71C38">
              <w:rPr>
                <w:color w:val="FF0000"/>
              </w:rPr>
              <w:t>[add #5 if subject to testing in NSPS GG or KKKK]</w:t>
            </w:r>
            <w:r w:rsidRPr="00A71C38">
              <w:t xml:space="preserve"> (5) Performance testing required by 40 CFR 60, Subpart GG or 40 CFR 60, Subpart KKKK may be used to satisfy these periodic testing requirements if they meet the requirements of this condition and are completed during the specified monitoring period.</w:t>
            </w:r>
          </w:p>
        </w:tc>
      </w:tr>
      <w:tr w:rsidR="00B908EC" w:rsidRPr="001475C0" w14:paraId="43C1A174" w14:textId="77777777" w:rsidTr="001475C0">
        <w:trPr>
          <w:jc w:val="center"/>
        </w:trPr>
        <w:tc>
          <w:tcPr>
            <w:tcW w:w="9360" w:type="dxa"/>
          </w:tcPr>
          <w:p w14:paraId="62A91403" w14:textId="77777777" w:rsidR="00B908EC" w:rsidRPr="001475C0" w:rsidRDefault="00B908EC" w:rsidP="007528C2">
            <w:pPr>
              <w:tabs>
                <w:tab w:val="left" w:pos="-263"/>
              </w:tabs>
              <w:spacing w:before="120"/>
              <w:jc w:val="both"/>
              <w:rPr>
                <w:rFonts w:eastAsia="MS Mincho"/>
                <w:sz w:val="24"/>
              </w:rPr>
            </w:pPr>
            <w:r w:rsidRPr="001475C0">
              <w:rPr>
                <w:b/>
                <w:sz w:val="24"/>
              </w:rPr>
              <w:lastRenderedPageBreak/>
              <w:t>Recordkeeping:</w:t>
            </w:r>
            <w:r w:rsidRPr="001475C0">
              <w:rPr>
                <w:sz w:val="24"/>
              </w:rPr>
              <w:t xml:space="preserve"> </w:t>
            </w:r>
            <w:r w:rsidRPr="00EA09E1">
              <w:rPr>
                <w:sz w:val="24"/>
              </w:rPr>
              <w:t>The permittee shall maintain records in accordance with Section B109</w:t>
            </w:r>
            <w:r w:rsidR="006D0B25" w:rsidRPr="00EA09E1">
              <w:rPr>
                <w:sz w:val="24"/>
              </w:rPr>
              <w:t>, B110 and B111</w:t>
            </w:r>
            <w:r w:rsidRPr="00EA09E1">
              <w:rPr>
                <w:sz w:val="24"/>
              </w:rPr>
              <w:t>. The</w:t>
            </w:r>
            <w:r w:rsidRPr="001475C0">
              <w:rPr>
                <w:sz w:val="24"/>
              </w:rPr>
              <w:t xml:space="preserve"> permittee shall also record the results of the </w:t>
            </w:r>
            <w:r w:rsidRPr="001475C0">
              <w:rPr>
                <w:rFonts w:eastAsia="MS Mincho"/>
                <w:sz w:val="24"/>
              </w:rPr>
              <w:t>periodic emissions tests, including the turbine's fuel flow rate and horsepower at the time of the test, and the type of fuel fired (natural gas, field gas, etc.).</w:t>
            </w:r>
          </w:p>
          <w:p w14:paraId="21EE0850" w14:textId="77777777" w:rsidR="00B908EC" w:rsidRPr="001475C0" w:rsidRDefault="00B908EC" w:rsidP="007528C2">
            <w:pPr>
              <w:tabs>
                <w:tab w:val="left" w:pos="-263"/>
              </w:tabs>
              <w:spacing w:before="120"/>
              <w:jc w:val="both"/>
              <w:rPr>
                <w:rFonts w:eastAsia="MS Mincho"/>
                <w:sz w:val="24"/>
              </w:rPr>
            </w:pPr>
            <w:r w:rsidRPr="001475C0">
              <w:rPr>
                <w:rFonts w:eastAsia="MS Mincho"/>
                <w:sz w:val="24"/>
              </w:rPr>
              <w:t>The permittee shall also keep records of all raw data used to determine exhaust gas flow and of all calculations used to determine flow rates and mass emissions rates.</w:t>
            </w:r>
          </w:p>
        </w:tc>
      </w:tr>
      <w:tr w:rsidR="00B908EC" w:rsidRPr="001475C0" w14:paraId="3A246C37" w14:textId="77777777" w:rsidTr="001475C0">
        <w:trPr>
          <w:jc w:val="center"/>
        </w:trPr>
        <w:tc>
          <w:tcPr>
            <w:tcW w:w="9360" w:type="dxa"/>
          </w:tcPr>
          <w:p w14:paraId="765BC869" w14:textId="77777777" w:rsidR="00B908EC" w:rsidRPr="001475C0" w:rsidRDefault="00B908EC" w:rsidP="007528C2">
            <w:pPr>
              <w:tabs>
                <w:tab w:val="left" w:pos="-263"/>
              </w:tabs>
              <w:spacing w:before="120"/>
              <w:jc w:val="both"/>
              <w:rPr>
                <w:rFonts w:eastAsia="MS Mincho"/>
                <w:sz w:val="24"/>
              </w:rPr>
            </w:pPr>
            <w:r w:rsidRPr="001475C0">
              <w:rPr>
                <w:b/>
                <w:sz w:val="24"/>
              </w:rPr>
              <w:t>Reporting:</w:t>
            </w:r>
            <w:r w:rsidRPr="001475C0">
              <w:rPr>
                <w:sz w:val="24"/>
              </w:rPr>
              <w:t xml:space="preserve"> </w:t>
            </w:r>
            <w:r w:rsidRPr="001475C0">
              <w:rPr>
                <w:rFonts w:eastAsia="MS Mincho"/>
                <w:sz w:val="24"/>
              </w:rPr>
              <w:t xml:space="preserve">The permittee shall </w:t>
            </w:r>
            <w:r w:rsidR="003A6F10" w:rsidRPr="001475C0">
              <w:rPr>
                <w:rFonts w:eastAsia="MS Mincho"/>
                <w:sz w:val="24"/>
              </w:rPr>
              <w:t>report</w:t>
            </w:r>
            <w:r w:rsidRPr="001475C0">
              <w:rPr>
                <w:rFonts w:eastAsia="MS Mincho"/>
                <w:sz w:val="24"/>
              </w:rPr>
              <w:t xml:space="preserve"> in accordance with Section </w:t>
            </w:r>
            <w:r w:rsidR="007701BC">
              <w:rPr>
                <w:rFonts w:eastAsia="MS Mincho"/>
                <w:sz w:val="24"/>
              </w:rPr>
              <w:t xml:space="preserve">B109, B110, and </w:t>
            </w:r>
            <w:r w:rsidRPr="001475C0">
              <w:rPr>
                <w:rFonts w:eastAsia="MS Mincho"/>
                <w:sz w:val="24"/>
              </w:rPr>
              <w:t>B11</w:t>
            </w:r>
            <w:r w:rsidR="007701BC">
              <w:rPr>
                <w:rFonts w:eastAsia="MS Mincho"/>
                <w:sz w:val="24"/>
              </w:rPr>
              <w:t>1</w:t>
            </w:r>
            <w:r w:rsidRPr="001475C0">
              <w:rPr>
                <w:rFonts w:eastAsia="MS Mincho"/>
                <w:sz w:val="24"/>
              </w:rPr>
              <w:t>.</w:t>
            </w:r>
          </w:p>
        </w:tc>
      </w:tr>
    </w:tbl>
    <w:p w14:paraId="22584E6D" w14:textId="77777777" w:rsidR="00D73C14" w:rsidRPr="000A5F7D" w:rsidRDefault="00D73C14" w:rsidP="00D73C14">
      <w:pPr>
        <w:tabs>
          <w:tab w:val="left" w:pos="-263"/>
        </w:tabs>
        <w:rPr>
          <w:rFonts w:eastAsia="MS Mincho"/>
          <w:b/>
          <w:bCs/>
          <w:sz w:val="24"/>
        </w:rPr>
      </w:pPr>
    </w:p>
    <w:p w14:paraId="30C57A46" w14:textId="77777777" w:rsidR="00D73C14" w:rsidRPr="000A5F7D" w:rsidRDefault="00D73C14" w:rsidP="00D73C14">
      <w:pPr>
        <w:tabs>
          <w:tab w:val="left" w:pos="-263"/>
        </w:tabs>
        <w:rPr>
          <w:rFonts w:eastAsia="MS Mincho"/>
          <w:sz w:val="24"/>
        </w:rPr>
      </w:pPr>
      <w:r w:rsidRPr="000A5F7D">
        <w:rPr>
          <w:rFonts w:eastAsia="MS Mincho"/>
          <w:b/>
          <w:bCs/>
          <w:sz w:val="24"/>
        </w:rPr>
        <w:t xml:space="preserve">[Installation of a PEMS on turbines is optional.  If the facility intends to install a </w:t>
      </w:r>
      <w:r w:rsidR="00E66418">
        <w:rPr>
          <w:rFonts w:eastAsia="MS Mincho"/>
          <w:b/>
          <w:bCs/>
          <w:sz w:val="24"/>
        </w:rPr>
        <w:t>PEMS</w:t>
      </w:r>
      <w:r w:rsidRPr="000A5F7D">
        <w:rPr>
          <w:rFonts w:eastAsia="MS Mincho"/>
          <w:b/>
          <w:bCs/>
          <w:sz w:val="24"/>
        </w:rPr>
        <w:t xml:space="preserve">, use the following sections.  See </w:t>
      </w:r>
      <w:r w:rsidRPr="000A5F7D">
        <w:rPr>
          <w:rFonts w:eastAsia="MS Mincho"/>
          <w:b/>
          <w:bCs/>
          <w:sz w:val="24"/>
          <w:u w:val="single"/>
        </w:rPr>
        <w:t>Background</w:t>
      </w:r>
      <w:r w:rsidRPr="000A5F7D">
        <w:rPr>
          <w:rFonts w:eastAsia="MS Mincho"/>
          <w:b/>
          <w:bCs/>
          <w:sz w:val="24"/>
        </w:rPr>
        <w:t xml:space="preserve"> section of this document for a discussion.]</w:t>
      </w:r>
    </w:p>
    <w:p w14:paraId="22F09EA2" w14:textId="77777777" w:rsidR="001141BC" w:rsidRPr="000A5F7D" w:rsidRDefault="001141BC" w:rsidP="006D5F13">
      <w:pPr>
        <w:pStyle w:val="AQBCLvl-1"/>
        <w:tabs>
          <w:tab w:val="clear" w:pos="576"/>
          <w:tab w:val="num" w:pos="1080"/>
        </w:tabs>
        <w:ind w:left="1080" w:hanging="540"/>
      </w:pPr>
      <w:r w:rsidRPr="000A5F7D">
        <w:rPr>
          <w:rFonts w:eastAsia="MS Mincho"/>
        </w:rPr>
        <w:t xml:space="preserve">Continuous / Predictive Emissions </w:t>
      </w:r>
      <w:r w:rsidR="00652BA4" w:rsidRPr="000A5F7D">
        <w:rPr>
          <w:rFonts w:eastAsia="MS Mincho"/>
        </w:rPr>
        <w:t>(</w:t>
      </w:r>
      <w:r w:rsidRPr="000A5F7D">
        <w:rPr>
          <w:bCs/>
        </w:rPr>
        <w:t xml:space="preserve">Unit(s) </w:t>
      </w:r>
      <w:r w:rsidRPr="000A5F7D">
        <w:rPr>
          <w:bCs/>
          <w:color w:val="FF0000"/>
        </w:rPr>
        <w:t>X, Y, and Z</w:t>
      </w:r>
      <w:r w:rsidR="00652BA4" w:rsidRPr="000A5F7D">
        <w:rPr>
          <w:bCs/>
          <w:color w:val="FF0000"/>
        </w:rPr>
        <w: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1141BC" w:rsidRPr="001475C0" w14:paraId="6A2DA893" w14:textId="77777777" w:rsidTr="001475C0">
        <w:trPr>
          <w:jc w:val="center"/>
        </w:trPr>
        <w:tc>
          <w:tcPr>
            <w:tcW w:w="9360" w:type="dxa"/>
          </w:tcPr>
          <w:p w14:paraId="0402601B" w14:textId="77777777" w:rsidR="001141BC" w:rsidRPr="001475C0" w:rsidRDefault="001141BC" w:rsidP="007528C2">
            <w:pPr>
              <w:tabs>
                <w:tab w:val="left" w:pos="-263"/>
              </w:tabs>
              <w:spacing w:before="120"/>
              <w:jc w:val="both"/>
              <w:rPr>
                <w:rFonts w:eastAsia="MS Mincho"/>
                <w:sz w:val="24"/>
              </w:rPr>
            </w:pPr>
            <w:r w:rsidRPr="001475C0">
              <w:rPr>
                <w:b/>
                <w:sz w:val="24"/>
              </w:rPr>
              <w:t>Requirement:</w:t>
            </w:r>
            <w:r w:rsidRPr="001475C0">
              <w:rPr>
                <w:sz w:val="24"/>
              </w:rPr>
              <w:t xml:space="preserve"> </w:t>
            </w:r>
            <w:r w:rsidR="00ED1D11" w:rsidRPr="001475C0">
              <w:rPr>
                <w:rFonts w:eastAsia="MS Mincho"/>
                <w:sz w:val="24"/>
              </w:rPr>
              <w:t>The unit(s)</w:t>
            </w:r>
            <w:r w:rsidRPr="001475C0">
              <w:rPr>
                <w:rFonts w:eastAsia="MS Mincho"/>
                <w:sz w:val="24"/>
              </w:rPr>
              <w:t xml:space="preserve"> shall be equipped with a properly operating </w:t>
            </w:r>
            <w:r w:rsidR="00D73C14" w:rsidRPr="001475C0">
              <w:rPr>
                <w:rFonts w:eastAsia="MS Mincho"/>
                <w:sz w:val="24"/>
              </w:rPr>
              <w:t xml:space="preserve">continuous </w:t>
            </w:r>
            <w:r w:rsidR="00C71CAE">
              <w:rPr>
                <w:rFonts w:eastAsia="MS Mincho"/>
                <w:sz w:val="24"/>
              </w:rPr>
              <w:t xml:space="preserve">predictive </w:t>
            </w:r>
            <w:r w:rsidR="00D73C14" w:rsidRPr="001475C0">
              <w:rPr>
                <w:rFonts w:eastAsia="MS Mincho"/>
                <w:sz w:val="24"/>
              </w:rPr>
              <w:t xml:space="preserve">emissions </w:t>
            </w:r>
            <w:r w:rsidRPr="001475C0">
              <w:rPr>
                <w:rFonts w:eastAsia="MS Mincho"/>
                <w:sz w:val="24"/>
              </w:rPr>
              <w:t>monitoring system PEMS)</w:t>
            </w:r>
            <w:r w:rsidR="00D73C14" w:rsidRPr="001475C0">
              <w:rPr>
                <w:rFonts w:eastAsia="MS Mincho"/>
                <w:sz w:val="24"/>
              </w:rPr>
              <w:t xml:space="preserve">. </w:t>
            </w:r>
          </w:p>
        </w:tc>
      </w:tr>
      <w:tr w:rsidR="001141BC" w:rsidRPr="001475C0" w14:paraId="4634E9EC" w14:textId="77777777" w:rsidTr="001475C0">
        <w:trPr>
          <w:jc w:val="center"/>
        </w:trPr>
        <w:tc>
          <w:tcPr>
            <w:tcW w:w="9360" w:type="dxa"/>
          </w:tcPr>
          <w:p w14:paraId="74A8F527" w14:textId="77777777" w:rsidR="001141BC" w:rsidRPr="001475C0" w:rsidRDefault="001141BC" w:rsidP="007528C2">
            <w:pPr>
              <w:tabs>
                <w:tab w:val="left" w:pos="-263"/>
              </w:tabs>
              <w:spacing w:before="120"/>
              <w:jc w:val="both"/>
              <w:rPr>
                <w:rFonts w:eastAsia="MS Mincho"/>
                <w:sz w:val="24"/>
              </w:rPr>
            </w:pPr>
            <w:r w:rsidRPr="001475C0">
              <w:rPr>
                <w:b/>
                <w:sz w:val="24"/>
              </w:rPr>
              <w:t>Monitoring:</w:t>
            </w:r>
            <w:r w:rsidRPr="001475C0">
              <w:rPr>
                <w:sz w:val="24"/>
              </w:rPr>
              <w:t xml:space="preserve"> </w:t>
            </w:r>
            <w:r w:rsidRPr="001475C0">
              <w:rPr>
                <w:rFonts w:eastAsia="MS Mincho"/>
                <w:sz w:val="24"/>
              </w:rPr>
              <w:t xml:space="preserve">The permittee shall use the PEMS to </w:t>
            </w:r>
            <w:r w:rsidR="00795CA5">
              <w:rPr>
                <w:rFonts w:eastAsia="MS Mincho"/>
                <w:sz w:val="24"/>
              </w:rPr>
              <w:t>determine the</w:t>
            </w:r>
            <w:r w:rsidR="00EB5CDB">
              <w:rPr>
                <w:rFonts w:eastAsia="MS Mincho"/>
                <w:sz w:val="24"/>
              </w:rPr>
              <w:t xml:space="preserve"> </w:t>
            </w:r>
            <w:r w:rsidRPr="001475C0">
              <w:rPr>
                <w:rFonts w:eastAsia="MS Mincho"/>
                <w:sz w:val="24"/>
              </w:rPr>
              <w:t xml:space="preserve">NOx and CO </w:t>
            </w:r>
            <w:r w:rsidR="00EB5CDB">
              <w:rPr>
                <w:rFonts w:eastAsia="MS Mincho"/>
                <w:sz w:val="24"/>
              </w:rPr>
              <w:t xml:space="preserve">maximum pound per hour </w:t>
            </w:r>
            <w:r w:rsidRPr="001475C0">
              <w:rPr>
                <w:rFonts w:eastAsia="MS Mincho"/>
                <w:sz w:val="24"/>
              </w:rPr>
              <w:t xml:space="preserve">emission rate for each turbine. </w:t>
            </w:r>
          </w:p>
          <w:p w14:paraId="10D1CCA3" w14:textId="77777777" w:rsidR="001141BC" w:rsidRPr="000A5F7D" w:rsidRDefault="001141BC" w:rsidP="007528C2">
            <w:pPr>
              <w:pStyle w:val="BodyTextIndent3"/>
              <w:tabs>
                <w:tab w:val="clear" w:pos="-720"/>
                <w:tab w:val="clear" w:pos="540"/>
                <w:tab w:val="left" w:pos="0"/>
              </w:tabs>
              <w:spacing w:before="120"/>
              <w:ind w:left="720" w:firstLine="0"/>
            </w:pPr>
          </w:p>
          <w:p w14:paraId="5BA4393E" w14:textId="77777777" w:rsidR="001141BC" w:rsidRPr="000A5F7D" w:rsidRDefault="001141BC" w:rsidP="007528C2">
            <w:pPr>
              <w:pStyle w:val="BodyTextIndent3"/>
              <w:tabs>
                <w:tab w:val="clear" w:pos="-720"/>
                <w:tab w:val="clear" w:pos="540"/>
                <w:tab w:val="left" w:pos="0"/>
              </w:tabs>
              <w:spacing w:before="120"/>
              <w:ind w:left="0" w:firstLine="0"/>
            </w:pPr>
            <w:r w:rsidRPr="000A5F7D">
              <w:t xml:space="preserve">Within six months of the issue date of this permit, the PEMS shall undergo a relative accuracy test assessment (RATA) according to NSPS Appendix B, Performance Specification 2. The reference method shall be Method 20 of NSPS Appendix A. </w:t>
            </w:r>
          </w:p>
        </w:tc>
      </w:tr>
      <w:tr w:rsidR="001141BC" w:rsidRPr="001475C0" w14:paraId="29F949BB" w14:textId="77777777" w:rsidTr="001475C0">
        <w:trPr>
          <w:jc w:val="center"/>
        </w:trPr>
        <w:tc>
          <w:tcPr>
            <w:tcW w:w="9360" w:type="dxa"/>
          </w:tcPr>
          <w:p w14:paraId="76FED9DF" w14:textId="77777777" w:rsidR="001141BC" w:rsidRPr="000A5F7D" w:rsidRDefault="001141BC" w:rsidP="007528C2">
            <w:pPr>
              <w:pStyle w:val="BodyTextIndent3"/>
              <w:tabs>
                <w:tab w:val="clear" w:pos="-720"/>
                <w:tab w:val="clear" w:pos="540"/>
                <w:tab w:val="left" w:pos="0"/>
              </w:tabs>
              <w:spacing w:before="120"/>
              <w:ind w:left="0" w:firstLine="0"/>
            </w:pPr>
            <w:r w:rsidRPr="001475C0">
              <w:rPr>
                <w:b/>
              </w:rPr>
              <w:t>Recordkeeping:</w:t>
            </w:r>
            <w:r w:rsidRPr="000A5F7D">
              <w:t xml:space="preserve"> </w:t>
            </w:r>
            <w:r w:rsidR="00ED1D11" w:rsidRPr="000A5F7D">
              <w:t>The permittee shall r</w:t>
            </w:r>
            <w:r w:rsidRPr="000A5F7D">
              <w:t xml:space="preserve">ecord the </w:t>
            </w:r>
            <w:r w:rsidR="00EB5CDB">
              <w:t>pound per hour</w:t>
            </w:r>
            <w:r w:rsidRPr="000A5F7D">
              <w:t xml:space="preserve"> NOx and CO emission rates.</w:t>
            </w:r>
          </w:p>
        </w:tc>
      </w:tr>
      <w:tr w:rsidR="001141BC" w:rsidRPr="001475C0" w14:paraId="7FEDDAE9" w14:textId="77777777" w:rsidTr="001475C0">
        <w:trPr>
          <w:jc w:val="center"/>
        </w:trPr>
        <w:tc>
          <w:tcPr>
            <w:tcW w:w="9360" w:type="dxa"/>
          </w:tcPr>
          <w:p w14:paraId="5B8E5F60" w14:textId="77777777" w:rsidR="00795CA5" w:rsidRPr="000A5F7D" w:rsidRDefault="001141BC" w:rsidP="007528C2">
            <w:pPr>
              <w:pStyle w:val="BodyTextIndent3"/>
              <w:tabs>
                <w:tab w:val="clear" w:pos="-720"/>
                <w:tab w:val="clear" w:pos="540"/>
                <w:tab w:val="left" w:pos="0"/>
              </w:tabs>
              <w:spacing w:before="120"/>
              <w:ind w:left="0" w:firstLine="0"/>
            </w:pPr>
            <w:r w:rsidRPr="001475C0">
              <w:rPr>
                <w:b/>
              </w:rPr>
              <w:t>Reporting:</w:t>
            </w:r>
            <w:r w:rsidRPr="000A5F7D">
              <w:t xml:space="preserve"> </w:t>
            </w:r>
            <w:r w:rsidR="00795CA5">
              <w:t>The permittee shall report according to Section B110.</w:t>
            </w:r>
          </w:p>
        </w:tc>
      </w:tr>
    </w:tbl>
    <w:p w14:paraId="62F41235" w14:textId="77777777" w:rsidR="001141BC" w:rsidRPr="000A5F7D" w:rsidRDefault="003A6F10" w:rsidP="006D5F13">
      <w:pPr>
        <w:pStyle w:val="AQBCLvl-1"/>
        <w:tabs>
          <w:tab w:val="clear" w:pos="576"/>
          <w:tab w:val="num" w:pos="1080"/>
        </w:tabs>
        <w:ind w:left="1080" w:hanging="540"/>
        <w:rPr>
          <w:szCs w:val="24"/>
        </w:rPr>
      </w:pPr>
      <w:r>
        <w:rPr>
          <w:rFonts w:eastAsia="MS Mincho"/>
          <w:szCs w:val="24"/>
        </w:rPr>
        <w:t>Initial Compliance Test</w:t>
      </w:r>
      <w:r w:rsidR="001141BC" w:rsidRPr="000A5F7D">
        <w:rPr>
          <w:rFonts w:eastAsia="MS Mincho"/>
          <w:szCs w:val="24"/>
        </w:rPr>
        <w:t xml:space="preserve"> </w:t>
      </w:r>
      <w:r w:rsidR="00652BA4" w:rsidRPr="000A5F7D">
        <w:rPr>
          <w:rFonts w:eastAsia="MS Mincho"/>
          <w:szCs w:val="24"/>
        </w:rPr>
        <w:t>(</w:t>
      </w:r>
      <w:r w:rsidR="001141BC" w:rsidRPr="000A5F7D">
        <w:rPr>
          <w:bCs/>
          <w:szCs w:val="24"/>
        </w:rPr>
        <w:t xml:space="preserve">Unit(s) </w:t>
      </w:r>
      <w:r w:rsidR="001141BC" w:rsidRPr="000A5F7D">
        <w:rPr>
          <w:bCs/>
          <w:color w:val="FF0000"/>
          <w:szCs w:val="24"/>
        </w:rPr>
        <w:t>X, Y, and Z</w:t>
      </w:r>
      <w:r w:rsidR="00652BA4" w:rsidRPr="000A5F7D">
        <w:rPr>
          <w:bCs/>
          <w:color w:val="FF0000"/>
          <w:szCs w:val="24"/>
        </w:rPr>
        <w: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2016FF" w:rsidRPr="000A5F7D" w14:paraId="58A68BA6" w14:textId="77777777" w:rsidTr="00134FE1">
        <w:trPr>
          <w:jc w:val="center"/>
        </w:trPr>
        <w:tc>
          <w:tcPr>
            <w:tcW w:w="9360" w:type="dxa"/>
          </w:tcPr>
          <w:p w14:paraId="486B54F1" w14:textId="440313FC" w:rsidR="002016FF" w:rsidRPr="000A5F7D" w:rsidRDefault="002016FF" w:rsidP="007528C2">
            <w:pPr>
              <w:spacing w:before="120"/>
              <w:rPr>
                <w:sz w:val="24"/>
              </w:rPr>
            </w:pPr>
            <w:r w:rsidRPr="000A5F7D">
              <w:rPr>
                <w:b/>
                <w:sz w:val="24"/>
              </w:rPr>
              <w:t xml:space="preserve">Requirement: </w:t>
            </w:r>
            <w:r w:rsidR="00A81027" w:rsidRPr="00136063">
              <w:rPr>
                <w:rFonts w:eastAsia="MS Mincho"/>
                <w:sz w:val="24"/>
              </w:rPr>
              <w:t xml:space="preserve">Compliance with the allowable emission limits in Table 106.A shall be </w:t>
            </w:r>
            <w:r w:rsidR="00A81027" w:rsidRPr="00136063">
              <w:rPr>
                <w:rFonts w:eastAsia="MS Mincho"/>
                <w:sz w:val="24"/>
              </w:rPr>
              <w:lastRenderedPageBreak/>
              <w:t>demonstrated by</w:t>
            </w:r>
            <w:r w:rsidR="00A81027">
              <w:rPr>
                <w:rFonts w:eastAsia="MS Mincho"/>
                <w:sz w:val="24"/>
              </w:rPr>
              <w:t xml:space="preserve"> performing initial compliance testing.</w:t>
            </w:r>
          </w:p>
        </w:tc>
      </w:tr>
      <w:tr w:rsidR="002016FF" w:rsidRPr="000A5F7D" w14:paraId="37E13687" w14:textId="77777777" w:rsidTr="00134FE1">
        <w:trPr>
          <w:jc w:val="center"/>
        </w:trPr>
        <w:tc>
          <w:tcPr>
            <w:tcW w:w="9360" w:type="dxa"/>
          </w:tcPr>
          <w:p w14:paraId="084840F1" w14:textId="48BAD2B4" w:rsidR="007701BC" w:rsidRDefault="002016FF" w:rsidP="00EA09E1">
            <w:pPr>
              <w:rPr>
                <w:sz w:val="24"/>
              </w:rPr>
            </w:pPr>
            <w:r w:rsidRPr="000A5F7D">
              <w:rPr>
                <w:b/>
                <w:sz w:val="24"/>
              </w:rPr>
              <w:lastRenderedPageBreak/>
              <w:t>Monitoring:</w:t>
            </w:r>
            <w:r w:rsidRPr="000A5F7D">
              <w:rPr>
                <w:sz w:val="24"/>
              </w:rPr>
              <w:t xml:space="preserve"> </w:t>
            </w:r>
            <w:r w:rsidR="007701BC" w:rsidRPr="007701BC">
              <w:rPr>
                <w:sz w:val="24"/>
              </w:rPr>
              <w:t>The permittee shall perform an initial compliance test in accordance with the General Testing Requirements of Section B111.</w:t>
            </w:r>
            <w:r w:rsidR="001B6701">
              <w:rPr>
                <w:sz w:val="24"/>
              </w:rPr>
              <w:t xml:space="preserve"> </w:t>
            </w:r>
            <w:r w:rsidR="007701BC" w:rsidRPr="007701BC">
              <w:rPr>
                <w:sz w:val="24"/>
              </w:rPr>
              <w:t xml:space="preserve"> Emission testing is required for NOx and CO</w:t>
            </w:r>
            <w:r w:rsidR="007701BC">
              <w:rPr>
                <w:sz w:val="24"/>
              </w:rPr>
              <w:t>.</w:t>
            </w:r>
            <w:r w:rsidR="007701BC" w:rsidRPr="007701BC">
              <w:rPr>
                <w:sz w:val="24"/>
              </w:rPr>
              <w:t xml:space="preserve"> </w:t>
            </w:r>
            <w:r w:rsidR="007701BC" w:rsidRPr="007701BC">
              <w:rPr>
                <w:color w:val="FF0000"/>
                <w:sz w:val="24"/>
              </w:rPr>
              <w:t>[change reference to pollutants as necessary]</w:t>
            </w:r>
            <w:r w:rsidR="007701BC" w:rsidRPr="007701BC">
              <w:rPr>
                <w:sz w:val="24"/>
              </w:rPr>
              <w:t xml:space="preserve">. </w:t>
            </w:r>
          </w:p>
          <w:p w14:paraId="56F004AA" w14:textId="77777777" w:rsidR="007701BC" w:rsidRDefault="007701BC" w:rsidP="00EA09E1">
            <w:pPr>
              <w:rPr>
                <w:sz w:val="24"/>
              </w:rPr>
            </w:pPr>
          </w:p>
          <w:p w14:paraId="50EFC08E" w14:textId="4232227A" w:rsidR="007701BC" w:rsidRPr="007701BC" w:rsidRDefault="007701BC" w:rsidP="00EA09E1">
            <w:pPr>
              <w:rPr>
                <w:sz w:val="24"/>
              </w:rPr>
            </w:pPr>
            <w:r w:rsidRPr="007701BC">
              <w:rPr>
                <w:color w:val="FF0000"/>
                <w:sz w:val="24"/>
              </w:rPr>
              <w:t>[If the unit has VOC emission limits, include the following.]</w:t>
            </w:r>
            <w:r w:rsidR="001B6701">
              <w:rPr>
                <w:color w:val="FF0000"/>
                <w:sz w:val="24"/>
              </w:rPr>
              <w:t xml:space="preserve"> </w:t>
            </w:r>
            <w:r w:rsidRPr="007701BC">
              <w:rPr>
                <w:sz w:val="24"/>
              </w:rPr>
              <w:t xml:space="preserve"> Test results that demonstrate compliance with the CO emission limits shall also be considered to demonstrate compliance with the VOC emission limits. </w:t>
            </w:r>
          </w:p>
          <w:p w14:paraId="18BAD66A" w14:textId="77777777" w:rsidR="007701BC" w:rsidRPr="007701BC" w:rsidRDefault="007701BC" w:rsidP="00EA09E1">
            <w:pPr>
              <w:rPr>
                <w:sz w:val="24"/>
              </w:rPr>
            </w:pPr>
          </w:p>
          <w:p w14:paraId="52C05748" w14:textId="77777777" w:rsidR="002016FF" w:rsidRPr="000A5F7D" w:rsidRDefault="007701BC" w:rsidP="00EA09E1">
            <w:pPr>
              <w:rPr>
                <w:sz w:val="24"/>
              </w:rPr>
            </w:pPr>
            <w:r w:rsidRPr="007701BC">
              <w:rPr>
                <w:sz w:val="24"/>
              </w:rPr>
              <w:t>The monitoring exemptions of Section B108 do not apply to this requirement.</w:t>
            </w:r>
            <w:r w:rsidR="000962CF">
              <w:rPr>
                <w:sz w:val="24"/>
              </w:rPr>
              <w:t xml:space="preserve"> </w:t>
            </w:r>
            <w:r w:rsidRPr="007701BC">
              <w:rPr>
                <w:sz w:val="24"/>
              </w:rPr>
              <w:t xml:space="preserve"> </w:t>
            </w:r>
            <w:r w:rsidRPr="007701BC">
              <w:rPr>
                <w:color w:val="FF0000"/>
                <w:sz w:val="24"/>
              </w:rPr>
              <w:t>[TV: Add additional requirements from NSR Permit such as timeframe]</w:t>
            </w:r>
          </w:p>
        </w:tc>
      </w:tr>
      <w:tr w:rsidR="002016FF" w:rsidRPr="000A5F7D" w14:paraId="4F5D8871" w14:textId="77777777" w:rsidTr="00134FE1">
        <w:trPr>
          <w:jc w:val="center"/>
        </w:trPr>
        <w:tc>
          <w:tcPr>
            <w:tcW w:w="9360" w:type="dxa"/>
          </w:tcPr>
          <w:p w14:paraId="55F5BCEC" w14:textId="45227DB8" w:rsidR="002016FF" w:rsidRPr="000A5F7D" w:rsidRDefault="002016FF" w:rsidP="007528C2">
            <w:pPr>
              <w:spacing w:before="120"/>
              <w:rPr>
                <w:sz w:val="24"/>
              </w:rPr>
            </w:pPr>
            <w:r w:rsidRPr="000A5F7D">
              <w:rPr>
                <w:b/>
                <w:sz w:val="24"/>
              </w:rPr>
              <w:t>Recordkeeping:</w:t>
            </w:r>
            <w:r w:rsidRPr="000A5F7D">
              <w:rPr>
                <w:sz w:val="24"/>
              </w:rPr>
              <w:t xml:space="preserve"> The permittee shall maintain records in accordance with </w:t>
            </w:r>
            <w:r w:rsidR="00603CE9">
              <w:rPr>
                <w:sz w:val="24"/>
              </w:rPr>
              <w:t xml:space="preserve">applicable </w:t>
            </w:r>
            <w:r w:rsidRPr="000A5F7D">
              <w:rPr>
                <w:sz w:val="24"/>
              </w:rPr>
              <w:t>Section</w:t>
            </w:r>
            <w:r w:rsidR="00603CE9">
              <w:rPr>
                <w:sz w:val="24"/>
              </w:rPr>
              <w:t xml:space="preserve">s in </w:t>
            </w:r>
            <w:r w:rsidRPr="000A5F7D">
              <w:rPr>
                <w:sz w:val="24"/>
              </w:rPr>
              <w:t>B109</w:t>
            </w:r>
            <w:r w:rsidR="00603CE9">
              <w:rPr>
                <w:sz w:val="24"/>
              </w:rPr>
              <w:t>, B110, and B110.</w:t>
            </w:r>
          </w:p>
        </w:tc>
      </w:tr>
      <w:tr w:rsidR="002016FF" w:rsidRPr="000A5F7D" w14:paraId="39F24530" w14:textId="77777777" w:rsidTr="00134FE1">
        <w:trPr>
          <w:jc w:val="center"/>
        </w:trPr>
        <w:tc>
          <w:tcPr>
            <w:tcW w:w="9360" w:type="dxa"/>
          </w:tcPr>
          <w:p w14:paraId="524847AB" w14:textId="77777777" w:rsidR="002016FF" w:rsidRPr="000A5F7D" w:rsidRDefault="002016FF" w:rsidP="007528C2">
            <w:pPr>
              <w:spacing w:before="120"/>
              <w:rPr>
                <w:sz w:val="24"/>
              </w:rPr>
            </w:pPr>
            <w:r w:rsidRPr="000A5F7D">
              <w:rPr>
                <w:b/>
                <w:sz w:val="24"/>
              </w:rPr>
              <w:t>Reporting:</w:t>
            </w:r>
            <w:r w:rsidRPr="000A5F7D">
              <w:rPr>
                <w:sz w:val="24"/>
              </w:rPr>
              <w:t xml:space="preserve"> The permittee shall report in accordance with the</w:t>
            </w:r>
            <w:r w:rsidR="00603CE9">
              <w:rPr>
                <w:sz w:val="24"/>
              </w:rPr>
              <w:t xml:space="preserve"> applicable Sections in B109, B110, and B111.</w:t>
            </w:r>
          </w:p>
        </w:tc>
      </w:tr>
    </w:tbl>
    <w:p w14:paraId="1E5502A7" w14:textId="77777777" w:rsidR="001141BC" w:rsidRPr="000A5F7D" w:rsidRDefault="001141BC" w:rsidP="006D5F13">
      <w:pPr>
        <w:pStyle w:val="AQBCLvl-1"/>
        <w:tabs>
          <w:tab w:val="clear" w:pos="576"/>
          <w:tab w:val="num" w:pos="1080"/>
        </w:tabs>
        <w:ind w:left="1080" w:hanging="540"/>
        <w:rPr>
          <w:rFonts w:eastAsia="MS Mincho"/>
          <w:szCs w:val="24"/>
        </w:rPr>
      </w:pPr>
      <w:r w:rsidRPr="000A5F7D">
        <w:rPr>
          <w:rFonts w:eastAsia="MS Mincho"/>
          <w:szCs w:val="24"/>
        </w:rPr>
        <w:t>40 CFR</w:t>
      </w:r>
      <w:r w:rsidR="00652BA4" w:rsidRPr="000A5F7D">
        <w:rPr>
          <w:rFonts w:eastAsia="MS Mincho"/>
          <w:szCs w:val="24"/>
        </w:rPr>
        <w:t xml:space="preserve"> 60</w:t>
      </w:r>
      <w:r w:rsidRPr="000A5F7D">
        <w:rPr>
          <w:rFonts w:eastAsia="MS Mincho"/>
          <w:szCs w:val="24"/>
        </w:rPr>
        <w:t xml:space="preserve">, Subpart GG </w:t>
      </w:r>
      <w:r w:rsidR="00652BA4" w:rsidRPr="000A5F7D">
        <w:rPr>
          <w:rFonts w:eastAsia="MS Mincho"/>
          <w:szCs w:val="24"/>
        </w:rPr>
        <w:t>(</w:t>
      </w:r>
      <w:r w:rsidRPr="000A5F7D">
        <w:rPr>
          <w:bCs/>
          <w:szCs w:val="24"/>
        </w:rPr>
        <w:t xml:space="preserve">Unit(s) </w:t>
      </w:r>
      <w:r w:rsidRPr="000A5F7D">
        <w:rPr>
          <w:bCs/>
          <w:color w:val="FF0000"/>
          <w:szCs w:val="24"/>
        </w:rPr>
        <w:t>X, Y, and Z</w:t>
      </w:r>
      <w:r w:rsidR="00652BA4" w:rsidRPr="000A5F7D">
        <w:rPr>
          <w:bCs/>
          <w:color w:val="FF0000"/>
          <w:szCs w:val="24"/>
        </w:rPr>
        <w: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751BFA" w:rsidRPr="001475C0" w14:paraId="266FB504" w14:textId="77777777" w:rsidTr="001475C0">
        <w:trPr>
          <w:jc w:val="center"/>
        </w:trPr>
        <w:tc>
          <w:tcPr>
            <w:tcW w:w="9360" w:type="dxa"/>
          </w:tcPr>
          <w:p w14:paraId="3E538DB2" w14:textId="77777777" w:rsidR="00751BFA" w:rsidRPr="001475C0" w:rsidRDefault="00751BFA" w:rsidP="007528C2">
            <w:pPr>
              <w:spacing w:before="120"/>
              <w:jc w:val="both"/>
              <w:rPr>
                <w:sz w:val="24"/>
              </w:rPr>
            </w:pPr>
            <w:r w:rsidRPr="001475C0">
              <w:rPr>
                <w:b/>
                <w:sz w:val="24"/>
              </w:rPr>
              <w:t>Requirement:</w:t>
            </w:r>
            <w:r w:rsidRPr="001475C0">
              <w:rPr>
                <w:sz w:val="24"/>
              </w:rPr>
              <w:t xml:space="preserve"> </w:t>
            </w:r>
            <w:r w:rsidR="00D73C14" w:rsidRPr="001475C0">
              <w:rPr>
                <w:sz w:val="24"/>
              </w:rPr>
              <w:t>The unit</w:t>
            </w:r>
            <w:r w:rsidR="00D73C14" w:rsidRPr="001475C0">
              <w:rPr>
                <w:color w:val="FF0000"/>
                <w:sz w:val="24"/>
              </w:rPr>
              <w:t>(s) is/are</w:t>
            </w:r>
            <w:r w:rsidR="00D73C14" w:rsidRPr="001475C0">
              <w:rPr>
                <w:sz w:val="24"/>
              </w:rPr>
              <w:t xml:space="preserve"> </w:t>
            </w:r>
            <w:r w:rsidRPr="001475C0">
              <w:rPr>
                <w:sz w:val="24"/>
              </w:rPr>
              <w:t xml:space="preserve">subject to 40 CFR 60, Subpart GG and the permittee shall comply with the applicable requirements of </w:t>
            </w:r>
            <w:r w:rsidRPr="001475C0">
              <w:rPr>
                <w:bCs/>
                <w:sz w:val="24"/>
              </w:rPr>
              <w:t xml:space="preserve">40 CFR 60, Subpart A and Subpart GG. </w:t>
            </w:r>
          </w:p>
        </w:tc>
      </w:tr>
      <w:tr w:rsidR="00751BFA" w:rsidRPr="001475C0" w14:paraId="1BB13D78" w14:textId="77777777" w:rsidTr="001475C0">
        <w:trPr>
          <w:jc w:val="center"/>
        </w:trPr>
        <w:tc>
          <w:tcPr>
            <w:tcW w:w="9360" w:type="dxa"/>
          </w:tcPr>
          <w:p w14:paraId="26801BA5" w14:textId="77777777" w:rsidR="00751BFA" w:rsidRPr="001475C0" w:rsidRDefault="00751BFA" w:rsidP="007528C2">
            <w:pPr>
              <w:spacing w:before="120"/>
              <w:jc w:val="both"/>
              <w:rPr>
                <w:sz w:val="24"/>
              </w:rPr>
            </w:pPr>
            <w:r w:rsidRPr="001475C0">
              <w:rPr>
                <w:b/>
                <w:sz w:val="24"/>
              </w:rPr>
              <w:t>Monitoring:</w:t>
            </w:r>
            <w:r w:rsidRPr="001475C0">
              <w:rPr>
                <w:sz w:val="24"/>
              </w:rPr>
              <w:t xml:space="preserve"> The permittee shall comply with the monitoring and testing requirements of 40 CFR 60.334 and 60.335.</w:t>
            </w:r>
          </w:p>
        </w:tc>
      </w:tr>
      <w:tr w:rsidR="00751BFA" w:rsidRPr="001475C0" w14:paraId="2046C65B" w14:textId="77777777" w:rsidTr="001475C0">
        <w:trPr>
          <w:jc w:val="center"/>
        </w:trPr>
        <w:tc>
          <w:tcPr>
            <w:tcW w:w="9360" w:type="dxa"/>
          </w:tcPr>
          <w:p w14:paraId="798FE4BB" w14:textId="77777777" w:rsidR="00751BFA" w:rsidRPr="001475C0" w:rsidRDefault="00751BFA" w:rsidP="007528C2">
            <w:pPr>
              <w:spacing w:before="120"/>
              <w:jc w:val="both"/>
              <w:rPr>
                <w:sz w:val="24"/>
              </w:rPr>
            </w:pPr>
            <w:r w:rsidRPr="001475C0">
              <w:rPr>
                <w:b/>
                <w:sz w:val="24"/>
              </w:rPr>
              <w:t>Recordkeeping:</w:t>
            </w:r>
            <w:r w:rsidRPr="001475C0">
              <w:rPr>
                <w:sz w:val="24"/>
              </w:rPr>
              <w:t xml:space="preserve"> The permittee shall comply with the recordkeeping requirements of 40 CFR 60.334 and 40 CFR 60.7.</w:t>
            </w:r>
          </w:p>
        </w:tc>
      </w:tr>
      <w:tr w:rsidR="00751BFA" w:rsidRPr="001475C0" w14:paraId="33045617" w14:textId="77777777" w:rsidTr="001475C0">
        <w:trPr>
          <w:jc w:val="center"/>
        </w:trPr>
        <w:tc>
          <w:tcPr>
            <w:tcW w:w="9360" w:type="dxa"/>
          </w:tcPr>
          <w:p w14:paraId="5634649A" w14:textId="77777777" w:rsidR="00751BFA" w:rsidRPr="001475C0" w:rsidRDefault="00751BFA" w:rsidP="007528C2">
            <w:pPr>
              <w:spacing w:before="120"/>
              <w:jc w:val="both"/>
              <w:rPr>
                <w:sz w:val="24"/>
              </w:rPr>
            </w:pPr>
            <w:r w:rsidRPr="001475C0">
              <w:rPr>
                <w:b/>
                <w:sz w:val="24"/>
              </w:rPr>
              <w:t>Reporting:</w:t>
            </w:r>
            <w:r w:rsidRPr="001475C0">
              <w:rPr>
                <w:sz w:val="24"/>
              </w:rPr>
              <w:t xml:space="preserve"> The permittee shall comply with the reporting requirements of 40 CFR 60.7.</w:t>
            </w:r>
            <w:r w:rsidR="007B4C4D" w:rsidRPr="001475C0">
              <w:rPr>
                <w:sz w:val="24"/>
              </w:rPr>
              <w:t xml:space="preserve"> </w:t>
            </w:r>
          </w:p>
        </w:tc>
      </w:tr>
    </w:tbl>
    <w:p w14:paraId="48678AA5" w14:textId="77777777" w:rsidR="00BB0C9B" w:rsidRDefault="00BB0C9B" w:rsidP="00BB0C9B">
      <w:pPr>
        <w:pStyle w:val="AQBCLvl-1"/>
        <w:numPr>
          <w:ilvl w:val="0"/>
          <w:numId w:val="0"/>
        </w:numPr>
        <w:ind w:left="540"/>
        <w:rPr>
          <w:rFonts w:eastAsia="MS Mincho"/>
          <w:szCs w:val="24"/>
        </w:rPr>
      </w:pPr>
      <w:r>
        <w:rPr>
          <w:rFonts w:eastAsia="MS Mincho"/>
          <w:szCs w:val="24"/>
        </w:rPr>
        <w:t xml:space="preserve">Add to the Emission Section A106 the following limits, </w:t>
      </w:r>
      <w:proofErr w:type="spellStart"/>
      <w:r>
        <w:rPr>
          <w:rFonts w:eastAsia="MS Mincho"/>
          <w:szCs w:val="24"/>
        </w:rPr>
        <w:t>ppmv</w:t>
      </w:r>
      <w:proofErr w:type="spellEnd"/>
      <w:r>
        <w:rPr>
          <w:rFonts w:eastAsia="MS Mincho"/>
          <w:szCs w:val="24"/>
        </w:rPr>
        <w:t xml:space="preserve"> should be calculated by applicant and verified by permit writer using the NSPS GG spreadsheet.</w:t>
      </w:r>
    </w:p>
    <w:p w14:paraId="473EB10F" w14:textId="51EF25E8" w:rsidR="00BB0C9B" w:rsidRPr="00BB0C9B" w:rsidRDefault="00BB0C9B" w:rsidP="00BB0C9B">
      <w:pPr>
        <w:pStyle w:val="AQBCLvl-1"/>
        <w:tabs>
          <w:tab w:val="clear" w:pos="576"/>
          <w:tab w:val="num" w:pos="1080"/>
        </w:tabs>
        <w:ind w:left="1080" w:hanging="540"/>
        <w:rPr>
          <w:rFonts w:eastAsia="MS Mincho"/>
          <w:szCs w:val="24"/>
        </w:rPr>
      </w:pPr>
      <w:r w:rsidRPr="00BB0C9B">
        <w:rPr>
          <w:rFonts w:eastAsia="MS Mincho"/>
          <w:szCs w:val="24"/>
        </w:rPr>
        <w:t xml:space="preserve">NOx emissions from any of the </w:t>
      </w:r>
      <w:r w:rsidR="00960024" w:rsidRPr="00960024">
        <w:rPr>
          <w:rFonts w:eastAsia="MS Mincho"/>
          <w:color w:val="FF0000"/>
          <w:szCs w:val="24"/>
        </w:rPr>
        <w:t>[</w:t>
      </w:r>
      <w:r w:rsidRPr="00960024">
        <w:rPr>
          <w:rFonts w:eastAsia="MS Mincho"/>
          <w:color w:val="FF0000"/>
          <w:szCs w:val="24"/>
        </w:rPr>
        <w:t>Solar Mars</w:t>
      </w:r>
      <w:r w:rsidR="00960024" w:rsidRPr="00960024">
        <w:rPr>
          <w:rFonts w:eastAsia="MS Mincho"/>
          <w:color w:val="FF0000"/>
          <w:szCs w:val="24"/>
        </w:rPr>
        <w:t>]</w:t>
      </w:r>
      <w:r w:rsidRPr="00BB0C9B">
        <w:rPr>
          <w:rFonts w:eastAsia="MS Mincho"/>
          <w:color w:val="FF0000"/>
          <w:szCs w:val="24"/>
        </w:rPr>
        <w:t xml:space="preserve"> turbines (Unit</w:t>
      </w:r>
      <w:r w:rsidR="000962CF">
        <w:rPr>
          <w:rFonts w:eastAsia="MS Mincho"/>
          <w:color w:val="FF0000"/>
          <w:szCs w:val="24"/>
        </w:rPr>
        <w:t>(</w:t>
      </w:r>
      <w:r w:rsidRPr="00BB0C9B">
        <w:rPr>
          <w:rFonts w:eastAsia="MS Mincho"/>
          <w:color w:val="FF0000"/>
          <w:szCs w:val="24"/>
        </w:rPr>
        <w:t>s</w:t>
      </w:r>
      <w:r w:rsidR="000962CF">
        <w:rPr>
          <w:rFonts w:eastAsia="MS Mincho"/>
          <w:color w:val="FF0000"/>
          <w:szCs w:val="24"/>
        </w:rPr>
        <w:t>)</w:t>
      </w:r>
      <w:r w:rsidRPr="00BB0C9B">
        <w:rPr>
          <w:rFonts w:eastAsia="MS Mincho"/>
          <w:color w:val="FF0000"/>
          <w:szCs w:val="24"/>
        </w:rPr>
        <w:t xml:space="preserve"> </w:t>
      </w:r>
      <w:r w:rsidR="000962CF">
        <w:rPr>
          <w:rFonts w:eastAsia="MS Mincho"/>
          <w:color w:val="FF0000"/>
          <w:szCs w:val="24"/>
        </w:rPr>
        <w:t>XX</w:t>
      </w:r>
      <w:r w:rsidRPr="00BB0C9B">
        <w:rPr>
          <w:rFonts w:eastAsia="MS Mincho"/>
          <w:color w:val="FF0000"/>
          <w:szCs w:val="24"/>
        </w:rPr>
        <w:t xml:space="preserve">, </w:t>
      </w:r>
      <w:r w:rsidR="000962CF">
        <w:rPr>
          <w:rFonts w:eastAsia="MS Mincho"/>
          <w:color w:val="FF0000"/>
          <w:szCs w:val="24"/>
        </w:rPr>
        <w:t>YY</w:t>
      </w:r>
      <w:r w:rsidRPr="00BB0C9B">
        <w:rPr>
          <w:rFonts w:eastAsia="MS Mincho"/>
          <w:color w:val="FF0000"/>
          <w:szCs w:val="24"/>
        </w:rPr>
        <w:t xml:space="preserve">, and </w:t>
      </w:r>
      <w:r w:rsidR="000962CF">
        <w:rPr>
          <w:rFonts w:eastAsia="MS Mincho"/>
          <w:color w:val="FF0000"/>
          <w:szCs w:val="24"/>
        </w:rPr>
        <w:t>ZZ</w:t>
      </w:r>
      <w:r w:rsidRPr="00BB0C9B">
        <w:rPr>
          <w:rFonts w:eastAsia="MS Mincho"/>
          <w:szCs w:val="24"/>
        </w:rPr>
        <w:t xml:space="preserve">) shall not exceed </w:t>
      </w:r>
      <w:r w:rsidR="00960024">
        <w:rPr>
          <w:rFonts w:eastAsia="MS Mincho"/>
          <w:szCs w:val="24"/>
        </w:rPr>
        <w:t>[</w:t>
      </w:r>
      <w:r w:rsidR="00960024">
        <w:rPr>
          <w:rFonts w:eastAsia="MS Mincho"/>
          <w:color w:val="FF0000"/>
          <w:szCs w:val="24"/>
        </w:rPr>
        <w:t>xxx]</w:t>
      </w:r>
      <w:r w:rsidRPr="00BB0C9B">
        <w:rPr>
          <w:rFonts w:eastAsia="MS Mincho"/>
          <w:szCs w:val="24"/>
        </w:rPr>
        <w:t xml:space="preserve"> </w:t>
      </w:r>
      <w:proofErr w:type="spellStart"/>
      <w:r w:rsidRPr="00BB0C9B">
        <w:rPr>
          <w:rFonts w:eastAsia="MS Mincho"/>
          <w:szCs w:val="24"/>
        </w:rPr>
        <w:t>ppmv</w:t>
      </w:r>
      <w:proofErr w:type="spellEnd"/>
      <w:r w:rsidRPr="00BB0C9B">
        <w:rPr>
          <w:rFonts w:eastAsia="MS Mincho"/>
          <w:szCs w:val="24"/>
        </w:rPr>
        <w:t xml:space="preserve"> at 15 percent oxygen on a dry basis. (40 CFR 60.332)</w:t>
      </w:r>
    </w:p>
    <w:p w14:paraId="4B1B737A" w14:textId="040E175F" w:rsidR="00BB0C9B" w:rsidRPr="00BB0C9B" w:rsidRDefault="00BB0C9B" w:rsidP="00BB0C9B">
      <w:pPr>
        <w:pStyle w:val="AQBCLvl-1"/>
        <w:tabs>
          <w:tab w:val="clear" w:pos="576"/>
          <w:tab w:val="num" w:pos="1080"/>
        </w:tabs>
        <w:ind w:left="1080" w:hanging="540"/>
        <w:rPr>
          <w:rFonts w:eastAsia="MS Mincho"/>
          <w:szCs w:val="24"/>
        </w:rPr>
      </w:pPr>
      <w:r w:rsidRPr="00BB0C9B">
        <w:rPr>
          <w:rFonts w:eastAsia="MS Mincho"/>
          <w:szCs w:val="24"/>
        </w:rPr>
        <w:t xml:space="preserve">NOx emissions from the </w:t>
      </w:r>
      <w:r w:rsidR="00960024" w:rsidRPr="00960024">
        <w:rPr>
          <w:rFonts w:eastAsia="MS Mincho"/>
          <w:color w:val="FF0000"/>
          <w:szCs w:val="24"/>
        </w:rPr>
        <w:t>[</w:t>
      </w:r>
      <w:r w:rsidRPr="00BB0C9B">
        <w:rPr>
          <w:rFonts w:eastAsia="MS Mincho"/>
          <w:color w:val="FF0000"/>
          <w:szCs w:val="24"/>
        </w:rPr>
        <w:t>Solar Taurus</w:t>
      </w:r>
      <w:r w:rsidR="00960024">
        <w:rPr>
          <w:rFonts w:eastAsia="MS Mincho"/>
          <w:color w:val="FF0000"/>
          <w:szCs w:val="24"/>
        </w:rPr>
        <w:t>]</w:t>
      </w:r>
      <w:r w:rsidRPr="00BB0C9B">
        <w:rPr>
          <w:rFonts w:eastAsia="MS Mincho"/>
          <w:color w:val="FF0000"/>
          <w:szCs w:val="24"/>
        </w:rPr>
        <w:t xml:space="preserve"> turbine (Unit</w:t>
      </w:r>
      <w:r w:rsidR="000962CF">
        <w:rPr>
          <w:rFonts w:eastAsia="MS Mincho"/>
          <w:color w:val="FF0000"/>
          <w:szCs w:val="24"/>
        </w:rPr>
        <w:t>(s)</w:t>
      </w:r>
      <w:r w:rsidR="009C53FB">
        <w:rPr>
          <w:rFonts w:eastAsia="MS Mincho"/>
          <w:color w:val="FF0000"/>
          <w:szCs w:val="24"/>
        </w:rPr>
        <w:t xml:space="preserve"> XX, YY and ZZ</w:t>
      </w:r>
      <w:r w:rsidRPr="00BB0C9B">
        <w:rPr>
          <w:rFonts w:eastAsia="MS Mincho"/>
          <w:color w:val="FF0000"/>
          <w:szCs w:val="24"/>
        </w:rPr>
        <w:t>)</w:t>
      </w:r>
      <w:r w:rsidRPr="00BB0C9B">
        <w:rPr>
          <w:rFonts w:eastAsia="MS Mincho"/>
          <w:szCs w:val="24"/>
        </w:rPr>
        <w:t xml:space="preserve"> shall not exceed </w:t>
      </w:r>
      <w:r w:rsidR="00960024">
        <w:rPr>
          <w:rFonts w:eastAsia="MS Mincho"/>
          <w:szCs w:val="24"/>
        </w:rPr>
        <w:t>[</w:t>
      </w:r>
      <w:r w:rsidR="00960024">
        <w:rPr>
          <w:rFonts w:eastAsia="MS Mincho"/>
          <w:color w:val="FF0000"/>
          <w:szCs w:val="24"/>
        </w:rPr>
        <w:t>xxx]</w:t>
      </w:r>
      <w:r w:rsidRPr="00BB0C9B">
        <w:rPr>
          <w:rFonts w:eastAsia="MS Mincho"/>
          <w:szCs w:val="24"/>
        </w:rPr>
        <w:t xml:space="preserve"> </w:t>
      </w:r>
      <w:proofErr w:type="spellStart"/>
      <w:r w:rsidRPr="00BB0C9B">
        <w:rPr>
          <w:rFonts w:eastAsia="MS Mincho"/>
          <w:szCs w:val="24"/>
        </w:rPr>
        <w:t>ppmv</w:t>
      </w:r>
      <w:proofErr w:type="spellEnd"/>
      <w:r w:rsidRPr="00BB0C9B">
        <w:rPr>
          <w:rFonts w:eastAsia="MS Mincho"/>
          <w:szCs w:val="24"/>
        </w:rPr>
        <w:t xml:space="preserve"> at 15 percent oxygen on a dry basis. (40 CFR 60.332)</w:t>
      </w:r>
    </w:p>
    <w:p w14:paraId="7729DFCA" w14:textId="1861690E" w:rsidR="00BB0C9B" w:rsidRPr="00BB0C9B" w:rsidRDefault="00BB0C9B" w:rsidP="00BB0C9B">
      <w:pPr>
        <w:pStyle w:val="AQBCLvl-1"/>
        <w:tabs>
          <w:tab w:val="clear" w:pos="576"/>
          <w:tab w:val="num" w:pos="1080"/>
        </w:tabs>
        <w:ind w:left="1080" w:hanging="540"/>
        <w:rPr>
          <w:rFonts w:eastAsia="MS Mincho"/>
          <w:szCs w:val="24"/>
        </w:rPr>
      </w:pPr>
      <w:r w:rsidRPr="00BB0C9B">
        <w:rPr>
          <w:rFonts w:eastAsia="MS Mincho"/>
          <w:szCs w:val="24"/>
        </w:rPr>
        <w:t>SO</w:t>
      </w:r>
      <w:r w:rsidRPr="00BB0C9B">
        <w:rPr>
          <w:rFonts w:eastAsia="MS Mincho"/>
          <w:szCs w:val="24"/>
          <w:vertAlign w:val="subscript"/>
        </w:rPr>
        <w:t>2</w:t>
      </w:r>
      <w:r w:rsidRPr="00BB0C9B">
        <w:rPr>
          <w:rFonts w:eastAsia="MS Mincho"/>
          <w:szCs w:val="24"/>
        </w:rPr>
        <w:t xml:space="preserve"> emissions from each turbine, </w:t>
      </w:r>
      <w:r w:rsidRPr="00BB0C9B">
        <w:rPr>
          <w:rFonts w:eastAsia="MS Mincho"/>
          <w:color w:val="FF0000"/>
          <w:szCs w:val="24"/>
        </w:rPr>
        <w:t xml:space="preserve">Units </w:t>
      </w:r>
      <w:r w:rsidR="00020E4B">
        <w:rPr>
          <w:rFonts w:eastAsia="MS Mincho"/>
          <w:color w:val="FF0000"/>
          <w:szCs w:val="24"/>
        </w:rPr>
        <w:t>XX</w:t>
      </w:r>
      <w:r w:rsidRPr="00BB0C9B">
        <w:rPr>
          <w:rFonts w:eastAsia="MS Mincho"/>
          <w:color w:val="FF0000"/>
          <w:szCs w:val="24"/>
        </w:rPr>
        <w:t xml:space="preserve">, </w:t>
      </w:r>
      <w:r w:rsidR="00020E4B">
        <w:rPr>
          <w:rFonts w:eastAsia="MS Mincho"/>
          <w:color w:val="FF0000"/>
          <w:szCs w:val="24"/>
        </w:rPr>
        <w:t>YY</w:t>
      </w:r>
      <w:r w:rsidRPr="00BB0C9B">
        <w:rPr>
          <w:rFonts w:eastAsia="MS Mincho"/>
          <w:color w:val="FF0000"/>
          <w:szCs w:val="24"/>
        </w:rPr>
        <w:t xml:space="preserve">, and </w:t>
      </w:r>
      <w:r w:rsidR="00020E4B">
        <w:rPr>
          <w:rFonts w:eastAsia="MS Mincho"/>
          <w:color w:val="FF0000"/>
          <w:szCs w:val="24"/>
        </w:rPr>
        <w:t>ZZ</w:t>
      </w:r>
      <w:r w:rsidRPr="00BB0C9B">
        <w:rPr>
          <w:rFonts w:eastAsia="MS Mincho"/>
          <w:szCs w:val="24"/>
        </w:rPr>
        <w:t xml:space="preserve">, shall not exceed 0.015 percent by volume at 15 percent oxygen on a dry basis, or shall not burn fuel which contains sulfur in excess of 0.8 percent by weight (8000 </w:t>
      </w:r>
      <w:proofErr w:type="spellStart"/>
      <w:r w:rsidRPr="00BB0C9B">
        <w:rPr>
          <w:rFonts w:eastAsia="MS Mincho"/>
          <w:szCs w:val="24"/>
        </w:rPr>
        <w:t>ppmw</w:t>
      </w:r>
      <w:proofErr w:type="spellEnd"/>
      <w:r w:rsidRPr="00BB0C9B">
        <w:rPr>
          <w:rFonts w:eastAsia="MS Mincho"/>
          <w:szCs w:val="24"/>
        </w:rPr>
        <w:t xml:space="preserve">). </w:t>
      </w:r>
      <w:r w:rsidR="001B6701">
        <w:rPr>
          <w:rFonts w:eastAsia="MS Mincho"/>
          <w:szCs w:val="24"/>
        </w:rPr>
        <w:t xml:space="preserve"> </w:t>
      </w:r>
      <w:r w:rsidRPr="00BB0C9B">
        <w:rPr>
          <w:rFonts w:eastAsia="MS Mincho"/>
          <w:szCs w:val="24"/>
        </w:rPr>
        <w:t>(40 CFR 60.333)</w:t>
      </w:r>
    </w:p>
    <w:p w14:paraId="1C7B4BBC" w14:textId="77777777" w:rsidR="00652BA4" w:rsidRPr="000A5F7D" w:rsidRDefault="00652BA4" w:rsidP="006D5F13">
      <w:pPr>
        <w:pStyle w:val="AQBCLvl-1"/>
        <w:tabs>
          <w:tab w:val="clear" w:pos="576"/>
          <w:tab w:val="num" w:pos="1080"/>
        </w:tabs>
        <w:ind w:left="1080" w:hanging="540"/>
        <w:rPr>
          <w:szCs w:val="24"/>
        </w:rPr>
      </w:pPr>
      <w:r w:rsidRPr="000A5F7D">
        <w:rPr>
          <w:szCs w:val="24"/>
        </w:rPr>
        <w:t xml:space="preserve">40 CFR 60, Subpart KKKK </w:t>
      </w:r>
      <w:r w:rsidR="002016FF" w:rsidRPr="000A5F7D">
        <w:rPr>
          <w:rFonts w:eastAsia="MS Mincho"/>
          <w:szCs w:val="24"/>
        </w:rPr>
        <w:t>(</w:t>
      </w:r>
      <w:r w:rsidR="002016FF" w:rsidRPr="000A5F7D">
        <w:rPr>
          <w:bCs/>
          <w:szCs w:val="24"/>
        </w:rPr>
        <w:t xml:space="preserve">Unit(s) </w:t>
      </w:r>
      <w:r w:rsidR="002016FF" w:rsidRPr="000A5F7D">
        <w:rPr>
          <w:bCs/>
          <w:color w:val="FF0000"/>
          <w:szCs w:val="24"/>
        </w:rPr>
        <w:t>X, Y, and Z)</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652BA4" w:rsidRPr="001475C0" w14:paraId="64B187ED" w14:textId="77777777" w:rsidTr="001475C0">
        <w:trPr>
          <w:jc w:val="center"/>
        </w:trPr>
        <w:tc>
          <w:tcPr>
            <w:tcW w:w="9360" w:type="dxa"/>
          </w:tcPr>
          <w:p w14:paraId="41152ECF" w14:textId="77777777" w:rsidR="00652BA4" w:rsidRPr="001475C0" w:rsidRDefault="00652BA4" w:rsidP="007528C2">
            <w:pPr>
              <w:spacing w:before="120"/>
              <w:jc w:val="both"/>
              <w:rPr>
                <w:sz w:val="24"/>
              </w:rPr>
            </w:pPr>
            <w:r w:rsidRPr="001475C0">
              <w:rPr>
                <w:b/>
                <w:sz w:val="24"/>
              </w:rPr>
              <w:t>Requirement</w:t>
            </w:r>
            <w:r w:rsidR="002016FF" w:rsidRPr="001475C0">
              <w:rPr>
                <w:sz w:val="24"/>
              </w:rPr>
              <w:t xml:space="preserve"> The unit</w:t>
            </w:r>
            <w:r w:rsidR="002016FF" w:rsidRPr="001475C0">
              <w:rPr>
                <w:color w:val="FF0000"/>
                <w:sz w:val="24"/>
              </w:rPr>
              <w:t>(s) is/are</w:t>
            </w:r>
            <w:r w:rsidR="002016FF" w:rsidRPr="001475C0">
              <w:rPr>
                <w:sz w:val="24"/>
              </w:rPr>
              <w:t xml:space="preserve"> </w:t>
            </w:r>
            <w:r w:rsidRPr="001475C0">
              <w:rPr>
                <w:sz w:val="24"/>
              </w:rPr>
              <w:t xml:space="preserve">is subject to 40 CFR 60, Subpart KKKK and the permittee shall comply with the applicable requirements of </w:t>
            </w:r>
            <w:r w:rsidRPr="001475C0">
              <w:rPr>
                <w:bCs/>
                <w:sz w:val="24"/>
              </w:rPr>
              <w:t xml:space="preserve">40 CFR 60, Subpart A and Subpart KKKK. </w:t>
            </w:r>
          </w:p>
        </w:tc>
      </w:tr>
      <w:tr w:rsidR="00652BA4" w:rsidRPr="001475C0" w14:paraId="029E90DD" w14:textId="77777777" w:rsidTr="001475C0">
        <w:trPr>
          <w:jc w:val="center"/>
        </w:trPr>
        <w:tc>
          <w:tcPr>
            <w:tcW w:w="9360" w:type="dxa"/>
          </w:tcPr>
          <w:p w14:paraId="09B868F1" w14:textId="77777777" w:rsidR="00652BA4" w:rsidRPr="001475C0" w:rsidRDefault="00652BA4" w:rsidP="007528C2">
            <w:pPr>
              <w:spacing w:before="120"/>
              <w:jc w:val="both"/>
              <w:rPr>
                <w:sz w:val="24"/>
              </w:rPr>
            </w:pPr>
            <w:r w:rsidRPr="001475C0">
              <w:rPr>
                <w:b/>
                <w:sz w:val="24"/>
              </w:rPr>
              <w:t>Monitoring:</w:t>
            </w:r>
            <w:r w:rsidRPr="001475C0">
              <w:rPr>
                <w:sz w:val="24"/>
              </w:rPr>
              <w:t xml:space="preserve"> The permittee shall comply with all applicable monitoring and testing requirements, including but not limited to 40 CFR 60.4333.</w:t>
            </w:r>
          </w:p>
        </w:tc>
      </w:tr>
      <w:tr w:rsidR="00652BA4" w:rsidRPr="001475C0" w14:paraId="5692C84A" w14:textId="77777777" w:rsidTr="001475C0">
        <w:trPr>
          <w:jc w:val="center"/>
        </w:trPr>
        <w:tc>
          <w:tcPr>
            <w:tcW w:w="9360" w:type="dxa"/>
          </w:tcPr>
          <w:p w14:paraId="18282150" w14:textId="77777777" w:rsidR="00652BA4" w:rsidRPr="001475C0" w:rsidRDefault="00652BA4" w:rsidP="007528C2">
            <w:pPr>
              <w:spacing w:before="120"/>
              <w:jc w:val="both"/>
              <w:rPr>
                <w:sz w:val="24"/>
              </w:rPr>
            </w:pPr>
            <w:r w:rsidRPr="001475C0">
              <w:rPr>
                <w:b/>
                <w:sz w:val="24"/>
              </w:rPr>
              <w:lastRenderedPageBreak/>
              <w:t>Recordkeeping:</w:t>
            </w:r>
            <w:r w:rsidRPr="001475C0">
              <w:rPr>
                <w:sz w:val="24"/>
              </w:rPr>
              <w:t xml:space="preserve"> The permittee shall comply with all applicable recordkeeping requirements, including but not limited to 40 CFR 60.7.</w:t>
            </w:r>
          </w:p>
        </w:tc>
      </w:tr>
      <w:tr w:rsidR="00652BA4" w:rsidRPr="001475C0" w14:paraId="10B7D37E" w14:textId="77777777" w:rsidTr="001475C0">
        <w:trPr>
          <w:jc w:val="center"/>
        </w:trPr>
        <w:tc>
          <w:tcPr>
            <w:tcW w:w="9360" w:type="dxa"/>
          </w:tcPr>
          <w:p w14:paraId="581AA1A3" w14:textId="77777777" w:rsidR="00652BA4" w:rsidRPr="001475C0" w:rsidRDefault="00652BA4" w:rsidP="007528C2">
            <w:pPr>
              <w:spacing w:before="120"/>
              <w:jc w:val="both"/>
              <w:rPr>
                <w:sz w:val="24"/>
              </w:rPr>
            </w:pPr>
            <w:r w:rsidRPr="001475C0">
              <w:rPr>
                <w:b/>
                <w:sz w:val="24"/>
              </w:rPr>
              <w:t>Reporting:</w:t>
            </w:r>
            <w:r w:rsidRPr="001475C0">
              <w:rPr>
                <w:sz w:val="24"/>
              </w:rPr>
              <w:t xml:space="preserve"> The permittee shall comply with all applicable reporting requirements, including but not limited to 40 CFR 60.4375, 60.4395, and 60.7.</w:t>
            </w:r>
          </w:p>
        </w:tc>
      </w:tr>
    </w:tbl>
    <w:p w14:paraId="7739441D" w14:textId="6C08038B" w:rsidR="00E66418" w:rsidRPr="00E66418" w:rsidRDefault="00E66418" w:rsidP="00E66418">
      <w:pPr>
        <w:pStyle w:val="AQBCLvl-1"/>
        <w:numPr>
          <w:ilvl w:val="0"/>
          <w:numId w:val="0"/>
        </w:numPr>
        <w:rPr>
          <w:b/>
          <w:szCs w:val="24"/>
        </w:rPr>
      </w:pPr>
      <w:r>
        <w:rPr>
          <w:b/>
          <w:szCs w:val="24"/>
        </w:rPr>
        <w:t xml:space="preserve">[Case by Case: If the emission unit is operating below its full capacity, additional requirements may be necessary. </w:t>
      </w:r>
      <w:r w:rsidR="001B6701">
        <w:rPr>
          <w:b/>
          <w:szCs w:val="24"/>
        </w:rPr>
        <w:t xml:space="preserve"> </w:t>
      </w:r>
      <w:r>
        <w:rPr>
          <w:b/>
          <w:szCs w:val="24"/>
        </w:rPr>
        <w:t>The permit writer should review the calculations and/or manufacturer’s specifications provided to determine emissions for the facility’s specific operating scenario(s)</w:t>
      </w:r>
      <w:proofErr w:type="gramStart"/>
      <w:r>
        <w:rPr>
          <w:b/>
          <w:szCs w:val="24"/>
        </w:rPr>
        <w:t>. ]</w:t>
      </w:r>
      <w:proofErr w:type="gramEnd"/>
    </w:p>
    <w:p w14:paraId="6AF70757" w14:textId="77777777" w:rsidR="00E66418" w:rsidRPr="000A5F7D" w:rsidRDefault="00E66418" w:rsidP="00E66418">
      <w:pPr>
        <w:pStyle w:val="AQBCLvl-1"/>
        <w:tabs>
          <w:tab w:val="clear" w:pos="576"/>
          <w:tab w:val="num" w:pos="1080"/>
        </w:tabs>
        <w:ind w:left="1080" w:hanging="540"/>
        <w:rPr>
          <w:szCs w:val="24"/>
        </w:rPr>
      </w:pPr>
      <w:r>
        <w:rPr>
          <w:szCs w:val="24"/>
        </w:rPr>
        <w:t>Fuel Consumption</w:t>
      </w:r>
      <w:r w:rsidRPr="000A5F7D">
        <w:rPr>
          <w:szCs w:val="24"/>
        </w:rPr>
        <w:t xml:space="preserve"> </w:t>
      </w:r>
      <w:r w:rsidRPr="000A5F7D">
        <w:rPr>
          <w:rFonts w:eastAsia="MS Mincho"/>
          <w:szCs w:val="24"/>
        </w:rPr>
        <w:t>(</w:t>
      </w:r>
      <w:r w:rsidRPr="000A5F7D">
        <w:rPr>
          <w:bCs/>
          <w:szCs w:val="24"/>
        </w:rPr>
        <w:t xml:space="preserve">Unit(s) </w:t>
      </w:r>
      <w:r w:rsidRPr="000A5F7D">
        <w:rPr>
          <w:bCs/>
          <w:color w:val="FF0000"/>
          <w:szCs w:val="24"/>
        </w:rPr>
        <w:t>X, Y, and Z)</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E66418" w:rsidRPr="001475C0" w14:paraId="646D2E16" w14:textId="77777777" w:rsidTr="001475C0">
        <w:trPr>
          <w:jc w:val="center"/>
        </w:trPr>
        <w:tc>
          <w:tcPr>
            <w:tcW w:w="9360" w:type="dxa"/>
          </w:tcPr>
          <w:p w14:paraId="21E189B8" w14:textId="05A9BC4C" w:rsidR="00E66418" w:rsidRPr="001475C0" w:rsidRDefault="00E66418" w:rsidP="007528C2">
            <w:pPr>
              <w:spacing w:before="120"/>
              <w:jc w:val="both"/>
              <w:rPr>
                <w:sz w:val="24"/>
              </w:rPr>
            </w:pPr>
            <w:r w:rsidRPr="001475C0">
              <w:rPr>
                <w:b/>
                <w:sz w:val="24"/>
              </w:rPr>
              <w:t>Requirement:</w:t>
            </w:r>
            <w:r w:rsidRPr="001475C0">
              <w:rPr>
                <w:sz w:val="24"/>
              </w:rPr>
              <w:t xml:space="preserve"> </w:t>
            </w:r>
            <w:r w:rsidR="00A909F4" w:rsidRPr="00A909F4">
              <w:rPr>
                <w:rFonts w:eastAsia="MS Mincho"/>
                <w:sz w:val="24"/>
              </w:rPr>
              <w:t>Compliance with the allowable emission limits in Table 106.A shall be demonstrated by</w:t>
            </w:r>
            <w:r w:rsidRPr="001475C0">
              <w:rPr>
                <w:b/>
                <w:sz w:val="24"/>
              </w:rPr>
              <w:t xml:space="preserve"> </w:t>
            </w:r>
            <w:r w:rsidRPr="001475C0">
              <w:rPr>
                <w:color w:val="FF0000"/>
                <w:sz w:val="24"/>
              </w:rPr>
              <w:t>[insert operational requirement]</w:t>
            </w:r>
            <w:r w:rsidR="00B378A6">
              <w:rPr>
                <w:color w:val="FF0000"/>
                <w:sz w:val="24"/>
              </w:rPr>
              <w:t>.</w:t>
            </w:r>
          </w:p>
        </w:tc>
      </w:tr>
      <w:tr w:rsidR="00E66418" w:rsidRPr="001475C0" w14:paraId="1C9BE787" w14:textId="77777777" w:rsidTr="001475C0">
        <w:trPr>
          <w:jc w:val="center"/>
        </w:trPr>
        <w:tc>
          <w:tcPr>
            <w:tcW w:w="9360" w:type="dxa"/>
          </w:tcPr>
          <w:p w14:paraId="4B8DDE74" w14:textId="77777777" w:rsidR="00E66418" w:rsidRPr="000A5F7D" w:rsidRDefault="00E66418" w:rsidP="007528C2">
            <w:pPr>
              <w:pStyle w:val="BodyTextIndent3"/>
              <w:tabs>
                <w:tab w:val="clear" w:pos="-720"/>
                <w:tab w:val="clear" w:pos="540"/>
                <w:tab w:val="left" w:pos="0"/>
              </w:tabs>
              <w:spacing w:before="120"/>
              <w:ind w:left="0" w:firstLine="0"/>
            </w:pPr>
            <w:r w:rsidRPr="001475C0">
              <w:rPr>
                <w:b/>
              </w:rPr>
              <w:t>Monitoring:</w:t>
            </w:r>
            <w:r w:rsidRPr="000A5F7D">
              <w:t xml:space="preserve"> The permittee shall measure the fuel usage of each unit with a dedicated fuel meter. </w:t>
            </w:r>
          </w:p>
        </w:tc>
      </w:tr>
      <w:tr w:rsidR="00E66418" w:rsidRPr="001475C0" w14:paraId="43AEE5DB" w14:textId="77777777" w:rsidTr="001475C0">
        <w:trPr>
          <w:jc w:val="center"/>
        </w:trPr>
        <w:tc>
          <w:tcPr>
            <w:tcW w:w="9360" w:type="dxa"/>
          </w:tcPr>
          <w:p w14:paraId="240DE24A" w14:textId="0A7CD3F3" w:rsidR="00E66418" w:rsidRPr="001475C0" w:rsidRDefault="00E66418" w:rsidP="007528C2">
            <w:pPr>
              <w:spacing w:before="120"/>
              <w:jc w:val="both"/>
              <w:rPr>
                <w:sz w:val="24"/>
              </w:rPr>
            </w:pPr>
            <w:r w:rsidRPr="001475C0">
              <w:rPr>
                <w:b/>
                <w:sz w:val="24"/>
              </w:rPr>
              <w:t>Recordkeeping</w:t>
            </w:r>
            <w:r w:rsidRPr="001475C0">
              <w:rPr>
                <w:sz w:val="24"/>
              </w:rPr>
              <w:t xml:space="preserve">: The permittee shall record the </w:t>
            </w:r>
            <w:r w:rsidRPr="001475C0">
              <w:rPr>
                <w:rFonts w:eastAsia="MS Mincho"/>
                <w:sz w:val="24"/>
              </w:rPr>
              <w:t xml:space="preserve">average amount of fuel consumed by each affected turbine for every calendar </w:t>
            </w:r>
            <w:r w:rsidR="00B378A6" w:rsidRPr="00B378A6">
              <w:rPr>
                <w:rFonts w:eastAsia="MS Mincho"/>
                <w:color w:val="FF0000"/>
                <w:sz w:val="24"/>
              </w:rPr>
              <w:t>[</w:t>
            </w:r>
            <w:r w:rsidR="00B378A6">
              <w:rPr>
                <w:rFonts w:eastAsia="MS Mincho"/>
                <w:color w:val="FF0000"/>
                <w:sz w:val="24"/>
              </w:rPr>
              <w:t>month/quarter]</w:t>
            </w:r>
            <w:r w:rsidRPr="001475C0">
              <w:rPr>
                <w:rFonts w:eastAsia="MS Mincho"/>
                <w:sz w:val="24"/>
              </w:rPr>
              <w:t>, expressed in MMBTU/hour</w:t>
            </w:r>
            <w:r w:rsidRPr="001475C0">
              <w:rPr>
                <w:sz w:val="24"/>
              </w:rPr>
              <w:t>, including the make and model of the fuel flowmeter, all charts generated by the flowmeter, the type of fuel fired (natural gas, field gas, etc.), a contemporaneous fuel analysis if the fuel is other than natural gas, and all instrument calibrations.</w:t>
            </w:r>
            <w:r w:rsidR="001B6701">
              <w:rPr>
                <w:sz w:val="24"/>
              </w:rPr>
              <w:t xml:space="preserve"> </w:t>
            </w:r>
            <w:r w:rsidRPr="001475C0">
              <w:rPr>
                <w:sz w:val="24"/>
              </w:rPr>
              <w:t xml:space="preserve"> The record shall include a flow diagram showing the configuration of the flow meter relative to the turbine.</w:t>
            </w:r>
          </w:p>
        </w:tc>
      </w:tr>
      <w:tr w:rsidR="00E66418" w:rsidRPr="001475C0" w14:paraId="62E20AEB" w14:textId="77777777" w:rsidTr="001475C0">
        <w:trPr>
          <w:jc w:val="center"/>
        </w:trPr>
        <w:tc>
          <w:tcPr>
            <w:tcW w:w="9360" w:type="dxa"/>
          </w:tcPr>
          <w:p w14:paraId="27B4EC82" w14:textId="77777777" w:rsidR="00E66418" w:rsidRPr="001475C0" w:rsidRDefault="00E66418" w:rsidP="007528C2">
            <w:pPr>
              <w:spacing w:before="120"/>
              <w:jc w:val="both"/>
              <w:rPr>
                <w:sz w:val="24"/>
              </w:rPr>
            </w:pPr>
            <w:r w:rsidRPr="001475C0">
              <w:rPr>
                <w:b/>
                <w:sz w:val="24"/>
              </w:rPr>
              <w:t>Reporting:</w:t>
            </w:r>
            <w:r w:rsidRPr="001475C0">
              <w:rPr>
                <w:sz w:val="24"/>
              </w:rPr>
              <w:t xml:space="preserve"> </w:t>
            </w:r>
            <w:r w:rsidRPr="001475C0">
              <w:rPr>
                <w:rFonts w:eastAsia="MS Mincho"/>
                <w:sz w:val="24"/>
              </w:rPr>
              <w:t>The permittee shall report in accordance with Section B110.</w:t>
            </w:r>
          </w:p>
        </w:tc>
      </w:tr>
    </w:tbl>
    <w:p w14:paraId="14C9D575" w14:textId="77777777" w:rsidR="00974A2F" w:rsidRPr="000A5F7D" w:rsidRDefault="00974A2F" w:rsidP="006D5F13">
      <w:pPr>
        <w:pStyle w:val="AQBCLvl-1"/>
        <w:tabs>
          <w:tab w:val="clear" w:pos="576"/>
          <w:tab w:val="num" w:pos="1080"/>
        </w:tabs>
        <w:ind w:left="1080" w:hanging="540"/>
        <w:rPr>
          <w:szCs w:val="24"/>
        </w:rPr>
      </w:pPr>
      <w:r>
        <w:rPr>
          <w:szCs w:val="24"/>
        </w:rPr>
        <w:t>Load</w:t>
      </w:r>
      <w:r w:rsidRPr="000A5F7D">
        <w:rPr>
          <w:szCs w:val="24"/>
        </w:rPr>
        <w:t xml:space="preserve"> </w:t>
      </w:r>
      <w:r>
        <w:rPr>
          <w:szCs w:val="24"/>
        </w:rPr>
        <w:t xml:space="preserve">Requirement </w:t>
      </w:r>
      <w:r w:rsidRPr="000A5F7D">
        <w:rPr>
          <w:rFonts w:eastAsia="MS Mincho"/>
          <w:szCs w:val="24"/>
        </w:rPr>
        <w:t>(</w:t>
      </w:r>
      <w:r w:rsidRPr="000A5F7D">
        <w:rPr>
          <w:bCs/>
          <w:szCs w:val="24"/>
        </w:rPr>
        <w:t xml:space="preserve">Unit(s) </w:t>
      </w:r>
      <w:r w:rsidRPr="000A5F7D">
        <w:rPr>
          <w:bCs/>
          <w:color w:val="FF0000"/>
          <w:szCs w:val="24"/>
        </w:rPr>
        <w:t>X, Y, and Z)</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B56149" w:rsidRPr="001475C0" w14:paraId="307E284E" w14:textId="77777777" w:rsidTr="001475C0">
        <w:trPr>
          <w:jc w:val="center"/>
        </w:trPr>
        <w:tc>
          <w:tcPr>
            <w:tcW w:w="9360" w:type="dxa"/>
          </w:tcPr>
          <w:p w14:paraId="1E0E9531" w14:textId="25429062" w:rsidR="00B56149" w:rsidRPr="001475C0" w:rsidRDefault="00B56149" w:rsidP="007528C2">
            <w:pPr>
              <w:spacing w:before="120"/>
              <w:jc w:val="both"/>
              <w:rPr>
                <w:sz w:val="24"/>
              </w:rPr>
            </w:pPr>
            <w:r w:rsidRPr="001475C0">
              <w:rPr>
                <w:b/>
                <w:sz w:val="24"/>
              </w:rPr>
              <w:t>Requirement</w:t>
            </w:r>
            <w:r w:rsidRPr="001475C0">
              <w:rPr>
                <w:sz w:val="24"/>
              </w:rPr>
              <w:t xml:space="preserve"> </w:t>
            </w:r>
            <w:r w:rsidR="00A909F4" w:rsidRPr="00A909F4">
              <w:rPr>
                <w:rFonts w:eastAsia="MS Mincho"/>
                <w:sz w:val="24"/>
              </w:rPr>
              <w:t xml:space="preserve">Compliance with the allowable emission limits in Table 106.A shall be demonstrated by </w:t>
            </w:r>
            <w:r w:rsidRPr="001475C0">
              <w:rPr>
                <w:sz w:val="24"/>
              </w:rPr>
              <w:t xml:space="preserve">not operate below a minimum of </w:t>
            </w:r>
            <w:r w:rsidR="00974A2F" w:rsidRPr="001475C0">
              <w:rPr>
                <w:color w:val="FF0000"/>
                <w:sz w:val="24"/>
              </w:rPr>
              <w:t>XX</w:t>
            </w:r>
            <w:r w:rsidRPr="001475C0">
              <w:rPr>
                <w:color w:val="FF0000"/>
                <w:sz w:val="24"/>
              </w:rPr>
              <w:t xml:space="preserve"> </w:t>
            </w:r>
            <w:r w:rsidRPr="001475C0">
              <w:rPr>
                <w:sz w:val="24"/>
              </w:rPr>
              <w:t xml:space="preserve">percent </w:t>
            </w:r>
            <w:r w:rsidR="00974A2F" w:rsidRPr="001475C0">
              <w:rPr>
                <w:color w:val="FF0000"/>
                <w:sz w:val="24"/>
              </w:rPr>
              <w:t>ISO</w:t>
            </w:r>
            <w:r w:rsidR="00974A2F" w:rsidRPr="001475C0">
              <w:rPr>
                <w:sz w:val="24"/>
              </w:rPr>
              <w:t xml:space="preserve"> </w:t>
            </w:r>
            <w:r w:rsidRPr="001475C0">
              <w:rPr>
                <w:sz w:val="24"/>
              </w:rPr>
              <w:t>load conditions</w:t>
            </w:r>
            <w:r>
              <w:t>.</w:t>
            </w:r>
          </w:p>
        </w:tc>
      </w:tr>
      <w:tr w:rsidR="00B56149" w:rsidRPr="001475C0" w14:paraId="26FACF6B" w14:textId="77777777" w:rsidTr="001475C0">
        <w:trPr>
          <w:jc w:val="center"/>
        </w:trPr>
        <w:tc>
          <w:tcPr>
            <w:tcW w:w="9360" w:type="dxa"/>
          </w:tcPr>
          <w:p w14:paraId="72DD1851" w14:textId="77777777" w:rsidR="00B56149" w:rsidRPr="001475C0" w:rsidRDefault="00B56149" w:rsidP="007528C2">
            <w:pPr>
              <w:spacing w:before="120"/>
              <w:jc w:val="both"/>
              <w:rPr>
                <w:sz w:val="24"/>
              </w:rPr>
            </w:pPr>
            <w:r w:rsidRPr="001475C0">
              <w:rPr>
                <w:b/>
                <w:sz w:val="24"/>
              </w:rPr>
              <w:t>Monitoring:</w:t>
            </w:r>
            <w:r w:rsidRPr="001475C0">
              <w:rPr>
                <w:sz w:val="24"/>
              </w:rPr>
              <w:t xml:space="preserve"> </w:t>
            </w:r>
            <w:r w:rsidR="00974A2F" w:rsidRPr="001475C0">
              <w:rPr>
                <w:sz w:val="24"/>
              </w:rPr>
              <w:t xml:space="preserve">The permittee shall monitor the operational load conditions. </w:t>
            </w:r>
          </w:p>
        </w:tc>
      </w:tr>
      <w:tr w:rsidR="00B56149" w:rsidRPr="001475C0" w14:paraId="703A6F1A" w14:textId="77777777" w:rsidTr="001475C0">
        <w:trPr>
          <w:trHeight w:val="575"/>
          <w:jc w:val="center"/>
        </w:trPr>
        <w:tc>
          <w:tcPr>
            <w:tcW w:w="9360" w:type="dxa"/>
          </w:tcPr>
          <w:p w14:paraId="7EF3F63D" w14:textId="429371E4" w:rsidR="00B56149" w:rsidRPr="001475C0" w:rsidRDefault="00B56149" w:rsidP="007528C2">
            <w:pPr>
              <w:tabs>
                <w:tab w:val="left" w:pos="540"/>
              </w:tabs>
              <w:spacing w:before="120"/>
              <w:jc w:val="both"/>
              <w:rPr>
                <w:color w:val="000000"/>
              </w:rPr>
            </w:pPr>
            <w:r w:rsidRPr="001475C0">
              <w:rPr>
                <w:b/>
                <w:sz w:val="24"/>
              </w:rPr>
              <w:t>Recordkeeping:</w:t>
            </w:r>
            <w:r w:rsidRPr="001475C0">
              <w:rPr>
                <w:sz w:val="24"/>
              </w:rPr>
              <w:t xml:space="preserve"> The permittee shall record the time, duration, and date of turbine </w:t>
            </w:r>
            <w:r w:rsidR="0019571F" w:rsidRPr="001475C0">
              <w:rPr>
                <w:sz w:val="24"/>
              </w:rPr>
              <w:t>operation below</w:t>
            </w:r>
            <w:r w:rsidRPr="001475C0">
              <w:rPr>
                <w:sz w:val="24"/>
              </w:rPr>
              <w:t xml:space="preserve"> </w:t>
            </w:r>
            <w:r w:rsidRPr="001475C0">
              <w:rPr>
                <w:color w:val="FF0000"/>
                <w:sz w:val="24"/>
              </w:rPr>
              <w:t xml:space="preserve">XX </w:t>
            </w:r>
            <w:r w:rsidRPr="001475C0">
              <w:rPr>
                <w:sz w:val="24"/>
              </w:rPr>
              <w:t xml:space="preserve">percent </w:t>
            </w:r>
            <w:r w:rsidR="00974A2F" w:rsidRPr="001475C0">
              <w:rPr>
                <w:sz w:val="24"/>
              </w:rPr>
              <w:t xml:space="preserve">of ISO </w:t>
            </w:r>
            <w:r w:rsidRPr="001475C0">
              <w:rPr>
                <w:sz w:val="24"/>
              </w:rPr>
              <w:t>load.</w:t>
            </w:r>
          </w:p>
        </w:tc>
      </w:tr>
      <w:tr w:rsidR="00B56149" w:rsidRPr="001475C0" w14:paraId="05BC02D0" w14:textId="77777777" w:rsidTr="001475C0">
        <w:trPr>
          <w:jc w:val="center"/>
        </w:trPr>
        <w:tc>
          <w:tcPr>
            <w:tcW w:w="9360" w:type="dxa"/>
          </w:tcPr>
          <w:p w14:paraId="0CC53CD9" w14:textId="77777777" w:rsidR="00B56149" w:rsidRPr="001475C0" w:rsidRDefault="00B56149" w:rsidP="007528C2">
            <w:pPr>
              <w:spacing w:before="120"/>
              <w:jc w:val="both"/>
              <w:rPr>
                <w:sz w:val="24"/>
              </w:rPr>
            </w:pPr>
            <w:r w:rsidRPr="001475C0">
              <w:rPr>
                <w:b/>
                <w:sz w:val="24"/>
              </w:rPr>
              <w:t>Reporting:</w:t>
            </w:r>
            <w:r w:rsidR="00974A2F" w:rsidRPr="001475C0">
              <w:rPr>
                <w:rFonts w:eastAsia="MS Mincho"/>
                <w:sz w:val="24"/>
              </w:rPr>
              <w:t xml:space="preserve"> The permittee shall report in accordance with Section B110.</w:t>
            </w:r>
          </w:p>
        </w:tc>
      </w:tr>
    </w:tbl>
    <w:p w14:paraId="18C49EF6" w14:textId="77777777" w:rsidR="00135816" w:rsidRPr="000A5F7D" w:rsidRDefault="00135816" w:rsidP="005C6E36">
      <w:pPr>
        <w:pStyle w:val="Heading2"/>
        <w:jc w:val="center"/>
      </w:pPr>
      <w:r w:rsidRPr="000A5F7D">
        <w:br w:type="page"/>
      </w:r>
      <w:r w:rsidRPr="000A5F7D">
        <w:lastRenderedPageBreak/>
        <w:t>BACKGROUND INFORMATION</w:t>
      </w:r>
    </w:p>
    <w:p w14:paraId="4A12FC16" w14:textId="77777777" w:rsidR="00135816" w:rsidRPr="000A5F7D" w:rsidRDefault="00135816" w:rsidP="005C6E36">
      <w:pPr>
        <w:jc w:val="center"/>
        <w:rPr>
          <w:rFonts w:eastAsia="MS Mincho"/>
          <w:sz w:val="24"/>
        </w:rPr>
      </w:pPr>
      <w:r w:rsidRPr="000A5F7D">
        <w:rPr>
          <w:rFonts w:eastAsia="MS Mincho"/>
          <w:sz w:val="24"/>
        </w:rPr>
        <w:t>(Not for inclusion in permit)</w:t>
      </w:r>
    </w:p>
    <w:p w14:paraId="555DC516" w14:textId="77777777" w:rsidR="00135816" w:rsidRPr="000A5F7D" w:rsidRDefault="00135816">
      <w:pPr>
        <w:tabs>
          <w:tab w:val="left" w:pos="-263"/>
        </w:tabs>
        <w:jc w:val="both"/>
        <w:rPr>
          <w:rFonts w:eastAsia="MS Mincho"/>
          <w:sz w:val="24"/>
        </w:rPr>
      </w:pPr>
    </w:p>
    <w:p w14:paraId="095EC8D1" w14:textId="77777777" w:rsidR="00135816" w:rsidRPr="000A5F7D" w:rsidRDefault="00135816">
      <w:pPr>
        <w:tabs>
          <w:tab w:val="left" w:pos="-263"/>
        </w:tabs>
        <w:jc w:val="both"/>
        <w:rPr>
          <w:rFonts w:eastAsia="MS Mincho"/>
          <w:sz w:val="24"/>
        </w:rPr>
      </w:pPr>
      <w:r w:rsidRPr="000A5F7D">
        <w:rPr>
          <w:rFonts w:eastAsia="MS Mincho"/>
          <w:sz w:val="24"/>
        </w:rPr>
        <w:t xml:space="preserve">In </w:t>
      </w:r>
      <w:smartTag w:uri="urn:schemas-microsoft-com:office:smarttags" w:element="State">
        <w:smartTag w:uri="urn:schemas-microsoft-com:office:smarttags" w:element="place">
          <w:r w:rsidRPr="000A5F7D">
            <w:rPr>
              <w:rFonts w:eastAsia="MS Mincho"/>
              <w:sz w:val="24"/>
            </w:rPr>
            <w:t>New Mexico</w:t>
          </w:r>
        </w:smartTag>
      </w:smartTag>
      <w:r w:rsidRPr="000A5F7D">
        <w:rPr>
          <w:rFonts w:eastAsia="MS Mincho"/>
          <w:sz w:val="24"/>
        </w:rPr>
        <w:t xml:space="preserve">, turbines are found almost exclusively at mainline compressor stations, oil refineries, and natural gas processing plants. Turbines are also located at power generation </w:t>
      </w:r>
      <w:proofErr w:type="gramStart"/>
      <w:r w:rsidRPr="000A5F7D">
        <w:rPr>
          <w:rFonts w:eastAsia="MS Mincho"/>
          <w:sz w:val="24"/>
        </w:rPr>
        <w:t>plants</w:t>
      </w:r>
      <w:proofErr w:type="gramEnd"/>
      <w:r w:rsidRPr="000A5F7D">
        <w:rPr>
          <w:rFonts w:eastAsia="MS Mincho"/>
          <w:sz w:val="24"/>
        </w:rPr>
        <w:t xml:space="preserve"> but these are generally external combustion units. Most medium sized turbines (about 1000 HP through about 15,000 HP) in </w:t>
      </w:r>
      <w:smartTag w:uri="urn:schemas-microsoft-com:office:smarttags" w:element="State">
        <w:r w:rsidRPr="000A5F7D">
          <w:rPr>
            <w:rFonts w:eastAsia="MS Mincho"/>
            <w:sz w:val="24"/>
          </w:rPr>
          <w:t>New Mexico</w:t>
        </w:r>
      </w:smartTag>
      <w:r w:rsidRPr="000A5F7D">
        <w:rPr>
          <w:rFonts w:eastAsia="MS Mincho"/>
          <w:sz w:val="24"/>
        </w:rPr>
        <w:t xml:space="preserve"> were built by Solar Inc. of </w:t>
      </w:r>
      <w:smartTag w:uri="urn:schemas-microsoft-com:office:smarttags" w:element="place">
        <w:smartTag w:uri="urn:schemas-microsoft-com:office:smarttags" w:element="City">
          <w:r w:rsidRPr="000A5F7D">
            <w:rPr>
              <w:rFonts w:eastAsia="MS Mincho"/>
              <w:sz w:val="24"/>
            </w:rPr>
            <w:t>San Diego</w:t>
          </w:r>
        </w:smartTag>
        <w:r w:rsidRPr="000A5F7D">
          <w:rPr>
            <w:rFonts w:eastAsia="MS Mincho"/>
            <w:sz w:val="24"/>
          </w:rPr>
          <w:t xml:space="preserve">, </w:t>
        </w:r>
        <w:smartTag w:uri="urn:schemas-microsoft-com:office:smarttags" w:element="State">
          <w:r w:rsidRPr="000A5F7D">
            <w:rPr>
              <w:rFonts w:eastAsia="MS Mincho"/>
              <w:sz w:val="24"/>
            </w:rPr>
            <w:t>CA</w:t>
          </w:r>
        </w:smartTag>
      </w:smartTag>
      <w:r w:rsidRPr="000A5F7D">
        <w:rPr>
          <w:rFonts w:eastAsia="MS Mincho"/>
          <w:sz w:val="24"/>
        </w:rPr>
        <w:t>, a division of Caterpillar Engines. General Electric built mostly larger turbines.  This document will only discuss gas-powered turbines.</w:t>
      </w:r>
    </w:p>
    <w:p w14:paraId="144ABC04" w14:textId="77777777" w:rsidR="00135816" w:rsidRPr="000A5F7D" w:rsidRDefault="00135816">
      <w:pPr>
        <w:tabs>
          <w:tab w:val="left" w:pos="-263"/>
        </w:tabs>
        <w:jc w:val="both"/>
        <w:rPr>
          <w:rFonts w:eastAsia="MS Mincho"/>
          <w:sz w:val="24"/>
        </w:rPr>
      </w:pPr>
    </w:p>
    <w:p w14:paraId="121BA0E0" w14:textId="77777777" w:rsidR="00135816" w:rsidRDefault="00135816">
      <w:pPr>
        <w:tabs>
          <w:tab w:val="left" w:pos="-263"/>
        </w:tabs>
        <w:jc w:val="both"/>
        <w:rPr>
          <w:rFonts w:eastAsia="MS Mincho"/>
          <w:sz w:val="24"/>
        </w:rPr>
      </w:pPr>
      <w:r w:rsidRPr="00022EF1">
        <w:rPr>
          <w:rFonts w:eastAsia="MS Mincho"/>
          <w:b/>
          <w:sz w:val="24"/>
          <w:u w:val="single"/>
        </w:rPr>
        <w:t>Regulatory Requirements</w:t>
      </w:r>
      <w:r w:rsidR="003A6F10" w:rsidRPr="00022EF1">
        <w:rPr>
          <w:rFonts w:eastAsia="MS Mincho"/>
          <w:b/>
          <w:sz w:val="24"/>
          <w:u w:val="single"/>
        </w:rPr>
        <w:t>:</w:t>
      </w:r>
      <w:r w:rsidRPr="000A5F7D">
        <w:rPr>
          <w:rFonts w:eastAsia="MS Mincho"/>
          <w:sz w:val="24"/>
        </w:rPr>
        <w:t xml:space="preserve">  There are no state regulations that apply specifically to turbines. </w:t>
      </w:r>
    </w:p>
    <w:p w14:paraId="48F7666D" w14:textId="77777777" w:rsidR="003A6F10" w:rsidRPr="000A5F7D" w:rsidRDefault="003A6F10">
      <w:pPr>
        <w:tabs>
          <w:tab w:val="left" w:pos="-263"/>
        </w:tabs>
        <w:jc w:val="both"/>
        <w:rPr>
          <w:rFonts w:eastAsia="MS Mincho"/>
          <w:sz w:val="24"/>
        </w:rPr>
      </w:pPr>
    </w:p>
    <w:p w14:paraId="56212E26" w14:textId="77777777" w:rsidR="00135816" w:rsidRDefault="00135816">
      <w:pPr>
        <w:tabs>
          <w:tab w:val="left" w:pos="-263"/>
        </w:tabs>
        <w:jc w:val="both"/>
        <w:rPr>
          <w:rFonts w:eastAsia="MS Mincho"/>
          <w:sz w:val="24"/>
        </w:rPr>
      </w:pPr>
      <w:r w:rsidRPr="000A5F7D">
        <w:rPr>
          <w:rFonts w:eastAsia="MS Mincho"/>
          <w:sz w:val="24"/>
        </w:rPr>
        <w:t xml:space="preserve">NSPS Subpart GG (40 CFR 60.330 et seq.) applies to turbines whose heat input </w:t>
      </w:r>
      <w:r w:rsidRPr="000A5F7D">
        <w:rPr>
          <w:rFonts w:eastAsia="MS Mincho"/>
          <w:sz w:val="24"/>
          <w:u w:val="single"/>
        </w:rPr>
        <w:t>&gt;</w:t>
      </w:r>
      <w:r w:rsidRPr="000A5F7D">
        <w:rPr>
          <w:rFonts w:eastAsia="MS Mincho"/>
          <w:sz w:val="24"/>
        </w:rPr>
        <w:t>10 MMBTU/hour and for which construction or modification commenced after October 3, 1977. The regulation limits the NOx and SO</w:t>
      </w:r>
      <w:r w:rsidRPr="000A5F7D">
        <w:rPr>
          <w:rFonts w:eastAsia="MS Mincho"/>
          <w:sz w:val="24"/>
          <w:vertAlign w:val="subscript"/>
        </w:rPr>
        <w:t>2</w:t>
      </w:r>
      <w:r w:rsidRPr="000A5F7D">
        <w:rPr>
          <w:rFonts w:eastAsia="MS Mincho"/>
          <w:sz w:val="24"/>
        </w:rPr>
        <w:t xml:space="preserve"> concentrations for affected turbines. Unfortunately, Subpart GG is seriously out of date and fails to account for the enormous changes in turbine design made since the regulation's original promulgation in 1979.</w:t>
      </w:r>
    </w:p>
    <w:p w14:paraId="51F45DBE" w14:textId="77777777" w:rsidR="003A6F10" w:rsidRDefault="003A6F10">
      <w:pPr>
        <w:tabs>
          <w:tab w:val="left" w:pos="-263"/>
        </w:tabs>
        <w:jc w:val="both"/>
        <w:rPr>
          <w:rFonts w:eastAsia="MS Mincho"/>
          <w:sz w:val="24"/>
        </w:rPr>
      </w:pPr>
    </w:p>
    <w:p w14:paraId="26BD181E" w14:textId="77777777" w:rsidR="003A6F10" w:rsidRPr="000A5F7D" w:rsidRDefault="003A6F10">
      <w:pPr>
        <w:tabs>
          <w:tab w:val="left" w:pos="-263"/>
        </w:tabs>
        <w:jc w:val="both"/>
        <w:rPr>
          <w:rFonts w:eastAsia="MS Mincho"/>
          <w:sz w:val="24"/>
        </w:rPr>
      </w:pPr>
      <w:r>
        <w:rPr>
          <w:rFonts w:eastAsia="MS Mincho"/>
          <w:sz w:val="24"/>
        </w:rPr>
        <w:t xml:space="preserve">NSPS Subpart KKKK applies to turbines whose input </w:t>
      </w:r>
      <w:r w:rsidRPr="000A5F7D">
        <w:rPr>
          <w:rFonts w:eastAsia="MS Mincho"/>
          <w:sz w:val="24"/>
          <w:u w:val="single"/>
        </w:rPr>
        <w:t>&gt;</w:t>
      </w:r>
      <w:r w:rsidRPr="000A5F7D">
        <w:rPr>
          <w:rFonts w:eastAsia="MS Mincho"/>
          <w:sz w:val="24"/>
        </w:rPr>
        <w:t>10 MMBTU/</w:t>
      </w:r>
      <w:r w:rsidR="00022EF1">
        <w:rPr>
          <w:rFonts w:eastAsia="MS Mincho"/>
          <w:sz w:val="24"/>
        </w:rPr>
        <w:t xml:space="preserve">hour and for which construction, </w:t>
      </w:r>
      <w:r w:rsidRPr="000A5F7D">
        <w:rPr>
          <w:rFonts w:eastAsia="MS Mincho"/>
          <w:sz w:val="24"/>
        </w:rPr>
        <w:t>modification</w:t>
      </w:r>
      <w:r w:rsidR="00022EF1">
        <w:rPr>
          <w:rFonts w:eastAsia="MS Mincho"/>
          <w:sz w:val="24"/>
        </w:rPr>
        <w:t>, or reconstruction</w:t>
      </w:r>
      <w:r w:rsidRPr="000A5F7D">
        <w:rPr>
          <w:rFonts w:eastAsia="MS Mincho"/>
          <w:sz w:val="24"/>
        </w:rPr>
        <w:t xml:space="preserve"> commenced after </w:t>
      </w:r>
      <w:r w:rsidR="00022EF1">
        <w:rPr>
          <w:rFonts w:eastAsia="MS Mincho"/>
          <w:sz w:val="24"/>
        </w:rPr>
        <w:t xml:space="preserve">February 18, 2005. </w:t>
      </w:r>
    </w:p>
    <w:p w14:paraId="3F53056C" w14:textId="77777777" w:rsidR="00135816" w:rsidRPr="000A5F7D" w:rsidRDefault="00135816">
      <w:pPr>
        <w:tabs>
          <w:tab w:val="left" w:pos="-263"/>
        </w:tabs>
        <w:jc w:val="both"/>
        <w:rPr>
          <w:rFonts w:eastAsia="MS Mincho"/>
          <w:sz w:val="24"/>
        </w:rPr>
      </w:pPr>
    </w:p>
    <w:p w14:paraId="6F03E7DC" w14:textId="77777777" w:rsidR="00135816" w:rsidRPr="000A5F7D" w:rsidRDefault="00135816">
      <w:pPr>
        <w:tabs>
          <w:tab w:val="left" w:pos="-263"/>
        </w:tabs>
        <w:jc w:val="both"/>
        <w:rPr>
          <w:rFonts w:eastAsia="MS Mincho"/>
          <w:sz w:val="24"/>
        </w:rPr>
      </w:pPr>
      <w:r w:rsidRPr="00022EF1">
        <w:rPr>
          <w:rFonts w:eastAsia="MS Mincho"/>
          <w:b/>
          <w:sz w:val="24"/>
          <w:u w:val="single"/>
        </w:rPr>
        <w:t>Operating Principles of Natural Gas Turbines</w:t>
      </w:r>
      <w:r w:rsidR="00022EF1" w:rsidRPr="00022EF1">
        <w:rPr>
          <w:rFonts w:eastAsia="MS Mincho"/>
          <w:b/>
          <w:sz w:val="24"/>
          <w:u w:val="single"/>
        </w:rPr>
        <w:t>:</w:t>
      </w:r>
      <w:r w:rsidRPr="000A5F7D">
        <w:rPr>
          <w:rFonts w:eastAsia="MS Mincho"/>
          <w:sz w:val="24"/>
        </w:rPr>
        <w:t xml:space="preserve">  Most turbines at </w:t>
      </w:r>
      <w:smartTag w:uri="urn:schemas-microsoft-com:office:smarttags" w:element="place">
        <w:smartTag w:uri="urn:schemas-microsoft-com:office:smarttags" w:element="State">
          <w:r w:rsidRPr="000A5F7D">
            <w:rPr>
              <w:rFonts w:eastAsia="MS Mincho"/>
              <w:sz w:val="24"/>
            </w:rPr>
            <w:t>New Mexico</w:t>
          </w:r>
        </w:smartTag>
      </w:smartTag>
      <w:r w:rsidRPr="000A5F7D">
        <w:rPr>
          <w:rFonts w:eastAsia="MS Mincho"/>
          <w:sz w:val="24"/>
        </w:rPr>
        <w:t xml:space="preserve"> oil and gas plants are of the </w:t>
      </w:r>
      <w:r w:rsidRPr="000A5F7D">
        <w:rPr>
          <w:rFonts w:eastAsia="MS Mincho"/>
          <w:sz w:val="24"/>
          <w:u w:val="single"/>
        </w:rPr>
        <w:t>simple cycle</w:t>
      </w:r>
      <w:r w:rsidRPr="000A5F7D">
        <w:rPr>
          <w:rFonts w:eastAsia="MS Mincho"/>
          <w:sz w:val="24"/>
        </w:rPr>
        <w:t xml:space="preserve"> type and the majority of these are two-shaft units. Figure 1 shows a simplified schematic of a simple-cycle, two-shaft turbine. In a simple cycle turbine, the turbine’s front-end compressor first compresses inlet air. The compressed air enters a combustor where natural gas is injected and ignited. The heat of combustion raises the temperature and pressure</w:t>
      </w:r>
      <w:r w:rsidR="00022EF1">
        <w:rPr>
          <w:rFonts w:eastAsia="MS Mincho"/>
          <w:sz w:val="24"/>
        </w:rPr>
        <w:t xml:space="preserve"> of the compressed air. The </w:t>
      </w:r>
      <w:r w:rsidRPr="000A5F7D">
        <w:rPr>
          <w:rFonts w:eastAsia="MS Mincho"/>
          <w:sz w:val="24"/>
        </w:rPr>
        <w:t>newly acquired thermal energy is converted to kinetic energy (i.e. work) by expanding the heated air through a set of aerodynamically designed turbine blades arranged around a shaft. Part of the shaft's energy is used to drive the front-end air compressor and the remaining energy is available for external work, usually to drive a natural gas compressor.</w:t>
      </w:r>
    </w:p>
    <w:p w14:paraId="03E2C4C8" w14:textId="77777777" w:rsidR="00135816" w:rsidRPr="000A5F7D" w:rsidRDefault="00135816">
      <w:pPr>
        <w:tabs>
          <w:tab w:val="left" w:pos="-263"/>
        </w:tabs>
        <w:jc w:val="both"/>
        <w:rPr>
          <w:rFonts w:eastAsia="MS Mincho"/>
          <w:sz w:val="24"/>
        </w:rPr>
      </w:pPr>
    </w:p>
    <w:p w14:paraId="2DA3E8D3" w14:textId="77777777" w:rsidR="00135816" w:rsidRPr="000A5F7D" w:rsidRDefault="00135816">
      <w:pPr>
        <w:tabs>
          <w:tab w:val="left" w:pos="-263"/>
        </w:tabs>
        <w:jc w:val="both"/>
        <w:rPr>
          <w:rFonts w:eastAsia="MS Mincho"/>
          <w:sz w:val="24"/>
        </w:rPr>
      </w:pPr>
      <w:r w:rsidRPr="000A5F7D">
        <w:rPr>
          <w:rFonts w:eastAsia="MS Mincho"/>
          <w:sz w:val="24"/>
        </w:rPr>
        <w:t xml:space="preserve">In a </w:t>
      </w:r>
      <w:r w:rsidRPr="000A5F7D">
        <w:rPr>
          <w:rFonts w:eastAsia="MS Mincho"/>
          <w:sz w:val="24"/>
          <w:u w:val="single"/>
        </w:rPr>
        <w:t>two-shaft</w:t>
      </w:r>
      <w:r w:rsidRPr="000A5F7D">
        <w:rPr>
          <w:rFonts w:eastAsia="MS Mincho"/>
          <w:sz w:val="24"/>
        </w:rPr>
        <w:t xml:space="preserve"> simple cycle turbine, the turbine that drives the front-end air compressor is decoupled from the turbine that provides the useful work, thereby allowing for variable speed applications.</w:t>
      </w:r>
    </w:p>
    <w:p w14:paraId="0427BB07" w14:textId="77777777" w:rsidR="00135816" w:rsidRPr="000A5F7D" w:rsidRDefault="00135816">
      <w:pPr>
        <w:tabs>
          <w:tab w:val="left" w:pos="-263"/>
        </w:tabs>
        <w:jc w:val="both"/>
        <w:rPr>
          <w:rFonts w:eastAsia="MS Mincho"/>
          <w:sz w:val="24"/>
        </w:rPr>
      </w:pPr>
    </w:p>
    <w:p w14:paraId="033E9CE4" w14:textId="77777777" w:rsidR="00135816" w:rsidRPr="000A5F7D" w:rsidRDefault="00135816">
      <w:pPr>
        <w:tabs>
          <w:tab w:val="left" w:pos="-263"/>
        </w:tabs>
        <w:jc w:val="both"/>
        <w:rPr>
          <w:rFonts w:eastAsia="MS Mincho"/>
          <w:sz w:val="24"/>
        </w:rPr>
      </w:pPr>
      <w:r w:rsidRPr="000A5F7D">
        <w:rPr>
          <w:rFonts w:eastAsia="MS Mincho"/>
          <w:sz w:val="24"/>
        </w:rPr>
        <w:t xml:space="preserve">A </w:t>
      </w:r>
      <w:r w:rsidRPr="000A5F7D">
        <w:rPr>
          <w:rFonts w:eastAsia="MS Mincho"/>
          <w:sz w:val="24"/>
          <w:u w:val="single"/>
        </w:rPr>
        <w:t>combined-cycle</w:t>
      </w:r>
      <w:r w:rsidRPr="000A5F7D">
        <w:rPr>
          <w:rFonts w:eastAsia="MS Mincho"/>
          <w:sz w:val="24"/>
        </w:rPr>
        <w:t xml:space="preserve"> turbine uses the turbine's exhaust heat to generate steam to drive a secondary steam turbine, thereby improving the thermal efficiency of the turbine. A </w:t>
      </w:r>
      <w:r w:rsidRPr="000A5F7D">
        <w:rPr>
          <w:rFonts w:eastAsia="MS Mincho"/>
          <w:sz w:val="24"/>
          <w:u w:val="single"/>
        </w:rPr>
        <w:t>recuperative-cycle</w:t>
      </w:r>
      <w:r w:rsidRPr="000A5F7D">
        <w:rPr>
          <w:rFonts w:eastAsia="MS Mincho"/>
          <w:sz w:val="24"/>
        </w:rPr>
        <w:t xml:space="preserve"> turbine uses the turbine's hot exhaust to preheat the incoming air, thereby also improving the turbine's overall thermal efficiency.</w:t>
      </w:r>
    </w:p>
    <w:p w14:paraId="141583CA" w14:textId="77777777" w:rsidR="00135816" w:rsidRPr="000A5F7D" w:rsidRDefault="00135816">
      <w:pPr>
        <w:tabs>
          <w:tab w:val="left" w:pos="-263"/>
        </w:tabs>
        <w:jc w:val="both"/>
        <w:rPr>
          <w:rFonts w:eastAsia="MS Mincho"/>
          <w:sz w:val="24"/>
        </w:rPr>
      </w:pPr>
    </w:p>
    <w:p w14:paraId="186D8F44" w14:textId="77777777" w:rsidR="00135816" w:rsidRPr="000A5F7D" w:rsidRDefault="00135816">
      <w:pPr>
        <w:tabs>
          <w:tab w:val="left" w:pos="-263"/>
        </w:tabs>
        <w:jc w:val="both"/>
        <w:rPr>
          <w:rFonts w:eastAsia="MS Mincho"/>
          <w:sz w:val="24"/>
        </w:rPr>
      </w:pPr>
      <w:r w:rsidRPr="00022EF1">
        <w:rPr>
          <w:rFonts w:eastAsia="MS Mincho"/>
          <w:b/>
          <w:sz w:val="24"/>
          <w:u w:val="single"/>
        </w:rPr>
        <w:t>Character of Emissions</w:t>
      </w:r>
      <w:r w:rsidR="00022EF1" w:rsidRPr="00022EF1">
        <w:rPr>
          <w:rFonts w:eastAsia="MS Mincho"/>
          <w:b/>
          <w:sz w:val="24"/>
          <w:u w:val="single"/>
        </w:rPr>
        <w:t>:</w:t>
      </w:r>
      <w:r w:rsidRPr="000A5F7D">
        <w:rPr>
          <w:rFonts w:eastAsia="MS Mincho"/>
          <w:sz w:val="24"/>
        </w:rPr>
        <w:t xml:space="preserve"> The principal pollutants from a turbine are NOx and SO</w:t>
      </w:r>
      <w:r w:rsidRPr="000A5F7D">
        <w:rPr>
          <w:rFonts w:eastAsia="MS Mincho"/>
          <w:sz w:val="24"/>
          <w:vertAlign w:val="subscript"/>
        </w:rPr>
        <w:t>2</w:t>
      </w:r>
      <w:r w:rsidRPr="000A5F7D">
        <w:rPr>
          <w:rFonts w:eastAsia="MS Mincho"/>
          <w:sz w:val="24"/>
        </w:rPr>
        <w:t>. The latter pollutant occurs only from turbines using fuels other than natural gas. CO and unburned hydrocarbons (UHC) can be found in the turbine exhaust, but these are rarely the subject of regulatory concern.</w:t>
      </w:r>
    </w:p>
    <w:p w14:paraId="3E1DD4A2" w14:textId="77777777" w:rsidR="00135816" w:rsidRPr="000A5F7D" w:rsidRDefault="00135816">
      <w:pPr>
        <w:tabs>
          <w:tab w:val="left" w:pos="-263"/>
        </w:tabs>
        <w:jc w:val="both"/>
        <w:rPr>
          <w:rFonts w:eastAsia="MS Mincho"/>
          <w:sz w:val="24"/>
        </w:rPr>
      </w:pPr>
    </w:p>
    <w:p w14:paraId="197315C8" w14:textId="77777777" w:rsidR="00135816" w:rsidRPr="000A5F7D" w:rsidRDefault="00135816">
      <w:pPr>
        <w:tabs>
          <w:tab w:val="left" w:pos="-263"/>
        </w:tabs>
        <w:jc w:val="both"/>
        <w:rPr>
          <w:rFonts w:eastAsia="MS Mincho"/>
          <w:sz w:val="24"/>
        </w:rPr>
      </w:pPr>
      <w:r w:rsidRPr="000A5F7D">
        <w:rPr>
          <w:rFonts w:eastAsia="MS Mincho"/>
          <w:sz w:val="24"/>
        </w:rPr>
        <w:t xml:space="preserve">NOx from turbines is exclusively thermal NOx. The high combustion temperatures found in a </w:t>
      </w:r>
      <w:r w:rsidRPr="000A5F7D">
        <w:rPr>
          <w:rFonts w:eastAsia="MS Mincho"/>
          <w:sz w:val="24"/>
        </w:rPr>
        <w:lastRenderedPageBreak/>
        <w:t xml:space="preserve">turbine ensure the copious production of NOx. In simple cycle turbines at least, NOx increases with increasing load while CO and UHC decrease. Figure 2 shows the pollutant concentration trend, normalized to 15% exhaust gas oxygen, for a so-called typical turbine. According to Mr. Wilfred Hung, an engineer with Solar Turbines, Inc. and the author of numerous papers on NOx emissions from turbines, the linear NOx trend shown in Figure 2 is the exception, not the rule.  </w:t>
      </w:r>
    </w:p>
    <w:p w14:paraId="6F1765B5" w14:textId="77777777" w:rsidR="00135816" w:rsidRDefault="00135816">
      <w:pPr>
        <w:tabs>
          <w:tab w:val="left" w:pos="-263"/>
        </w:tabs>
        <w:jc w:val="both"/>
        <w:rPr>
          <w:rFonts w:eastAsia="MS Mincho"/>
          <w:sz w:val="24"/>
        </w:rPr>
      </w:pPr>
    </w:p>
    <w:p w14:paraId="6FA5B89A" w14:textId="77777777" w:rsidR="00B07B58" w:rsidRPr="00E10CAA" w:rsidRDefault="00B07B58" w:rsidP="00B07B58">
      <w:r w:rsidRPr="00E10CAA">
        <w:rPr>
          <w:u w:val="single"/>
        </w:rPr>
        <w:t xml:space="preserve">Note </w:t>
      </w:r>
      <w:r>
        <w:rPr>
          <w:u w:val="single"/>
        </w:rPr>
        <w:t>1</w:t>
      </w:r>
      <w:r w:rsidRPr="00E10CAA">
        <w:t xml:space="preserve">: Periodic Emissions Testing: “Test results that demonstrate compliance with the CO emission limits shall also be considered to demonstrate compliance with the VOC emission limits.” The rationale for this statement is that the portable analyzers do not speciate VOC compounds and the cost of a separate EPA method test is significant; therefore, AQB relies on CO monitoring to demonstrate compliance with VOC limits. Taking into account that the manufacturer tests the equipment and specifies the expected NOx, CO, and VOC emissions for a unit operating properly, as well as basic principles of combustion chemistry, if an engine test demonstrates that CO concentration fall within the emission limits, then VOC also falls within the emission limits, and the engine is performing as represented in the application. </w:t>
      </w:r>
    </w:p>
    <w:p w14:paraId="43A7E2DB" w14:textId="77777777" w:rsidR="00B07B58" w:rsidRPr="000A5F7D" w:rsidRDefault="00B07B58">
      <w:pPr>
        <w:tabs>
          <w:tab w:val="left" w:pos="-263"/>
        </w:tabs>
        <w:jc w:val="both"/>
        <w:rPr>
          <w:rFonts w:eastAsia="MS Mincho"/>
          <w:sz w:val="24"/>
        </w:rPr>
      </w:pPr>
    </w:p>
    <w:p w14:paraId="1AB6CF97" w14:textId="77777777" w:rsidR="00135816" w:rsidRPr="000A5F7D" w:rsidRDefault="00135816">
      <w:pPr>
        <w:tabs>
          <w:tab w:val="left" w:pos="-263"/>
        </w:tabs>
        <w:jc w:val="both"/>
        <w:rPr>
          <w:rFonts w:eastAsia="MS Mincho"/>
          <w:sz w:val="24"/>
        </w:rPr>
      </w:pPr>
      <w:r w:rsidRPr="00022EF1">
        <w:rPr>
          <w:rFonts w:eastAsia="MS Mincho"/>
          <w:b/>
          <w:sz w:val="24"/>
          <w:u w:val="single"/>
        </w:rPr>
        <w:t>Predictive Emissions Monitoring Systems (PEMS/CEMS)</w:t>
      </w:r>
      <w:r w:rsidR="00022EF1" w:rsidRPr="00022EF1">
        <w:rPr>
          <w:rFonts w:eastAsia="MS Mincho"/>
          <w:b/>
          <w:sz w:val="24"/>
          <w:u w:val="single"/>
        </w:rPr>
        <w:t>:</w:t>
      </w:r>
      <w:r w:rsidRPr="000A5F7D">
        <w:rPr>
          <w:rFonts w:eastAsia="MS Mincho"/>
          <w:sz w:val="24"/>
        </w:rPr>
        <w:t xml:space="preserve">  PEMS/CEMS for turbines falls into two broad categories. The first, statistical PEMS/CEMS, relies on statistical data obtained from many similar turbines to predict NOx emissions. These emissions are predicted as a function of turbine load. This type of PEMS/CEMS lacks the flexibility to adjust NOx predictions as the turbine's operating parameters change, for example barometric pressure or humidity. The general availability of statistical PEMS/CEMS packages is unknown at this time.</w:t>
      </w:r>
    </w:p>
    <w:p w14:paraId="72469A23" w14:textId="77777777" w:rsidR="00135816" w:rsidRPr="000A5F7D" w:rsidRDefault="00135816">
      <w:pPr>
        <w:tabs>
          <w:tab w:val="left" w:pos="-263"/>
        </w:tabs>
        <w:jc w:val="both"/>
        <w:rPr>
          <w:rFonts w:eastAsia="MS Mincho"/>
          <w:sz w:val="24"/>
        </w:rPr>
      </w:pPr>
    </w:p>
    <w:p w14:paraId="19941918" w14:textId="77777777" w:rsidR="00135816" w:rsidRPr="000A5F7D" w:rsidRDefault="00135816">
      <w:pPr>
        <w:tabs>
          <w:tab w:val="left" w:pos="-263"/>
        </w:tabs>
        <w:jc w:val="both"/>
        <w:rPr>
          <w:rFonts w:eastAsia="MS Mincho"/>
          <w:sz w:val="24"/>
        </w:rPr>
      </w:pPr>
      <w:r w:rsidRPr="000A5F7D">
        <w:rPr>
          <w:rFonts w:eastAsia="MS Mincho"/>
          <w:sz w:val="24"/>
        </w:rPr>
        <w:t>The second form of PEMS/CEMS, first principles PEMS/CEMS, relies on a fundamental thermodynamic model of the combustion process to predict NOx emissions. First principle PEMS/CEMS relies on sensors located throughout the turbine as input to the thermodynamic model. This form of PEMS/CEMS is capable of adjusting its prediction of NOX emissions as the turbine's operating parameters change. First principles PEMS/CEMS is at a sufficiently advanced state of development that many have passed the RATA of NSPS Appendix B.</w:t>
      </w:r>
    </w:p>
    <w:p w14:paraId="6193623E" w14:textId="77777777" w:rsidR="00135816" w:rsidRPr="000A5F7D" w:rsidRDefault="00135816">
      <w:pPr>
        <w:tabs>
          <w:tab w:val="left" w:pos="-263"/>
        </w:tabs>
        <w:jc w:val="both"/>
        <w:rPr>
          <w:rFonts w:eastAsia="MS Mincho"/>
          <w:sz w:val="24"/>
        </w:rPr>
      </w:pPr>
    </w:p>
    <w:p w14:paraId="6E2CCB06" w14:textId="77777777" w:rsidR="00135816" w:rsidRPr="000A5F7D" w:rsidRDefault="00135816">
      <w:pPr>
        <w:tabs>
          <w:tab w:val="left" w:pos="-263"/>
        </w:tabs>
        <w:jc w:val="both"/>
        <w:rPr>
          <w:rFonts w:eastAsia="MS Mincho"/>
          <w:sz w:val="24"/>
        </w:rPr>
      </w:pPr>
      <w:r w:rsidRPr="000A5F7D">
        <w:rPr>
          <w:rFonts w:eastAsia="MS Mincho"/>
          <w:sz w:val="24"/>
        </w:rPr>
        <w:t>A third form of PEMS/CEMS is a hybrid of the first two. Emissions data from a particular turbine are used to "calibrate" the thermodynamic model in order to obtain a more precise prediction of NOx emissions.</w:t>
      </w:r>
    </w:p>
    <w:p w14:paraId="4775919A" w14:textId="77777777" w:rsidR="00135816" w:rsidRPr="000A5F7D" w:rsidRDefault="00135816">
      <w:pPr>
        <w:tabs>
          <w:tab w:val="left" w:pos="-263"/>
        </w:tabs>
        <w:jc w:val="both"/>
        <w:rPr>
          <w:rFonts w:eastAsia="MS Mincho"/>
          <w:sz w:val="24"/>
        </w:rPr>
      </w:pPr>
    </w:p>
    <w:p w14:paraId="045F947F" w14:textId="77777777" w:rsidR="00135816" w:rsidRPr="000A5F7D" w:rsidRDefault="00135816">
      <w:pPr>
        <w:tabs>
          <w:tab w:val="left" w:pos="-263"/>
        </w:tabs>
        <w:jc w:val="both"/>
        <w:rPr>
          <w:rFonts w:eastAsia="MS Mincho"/>
          <w:sz w:val="24"/>
        </w:rPr>
      </w:pPr>
      <w:r w:rsidRPr="000A5F7D">
        <w:rPr>
          <w:rFonts w:eastAsia="MS Mincho"/>
          <w:sz w:val="24"/>
        </w:rPr>
        <w:t>A fundamental problem with any PEMS/CEMS is that it cannot easily take into account the effects of turbine wear and tear. As turbines age, blades wear down and internal deposits occur that decrease the turbine efficiency. The additional fuel required to overcome these defects changes the NOx emissions and may not be fully accounted for by the PEMS/CEMS. Fortunately, changes to NOx emissions from these defects are not expected to be very large.</w:t>
      </w:r>
    </w:p>
    <w:p w14:paraId="61D06D8E" w14:textId="77777777" w:rsidR="00135816" w:rsidRPr="000A5F7D" w:rsidRDefault="00135816">
      <w:pPr>
        <w:tabs>
          <w:tab w:val="left" w:pos="-263"/>
        </w:tabs>
        <w:jc w:val="both"/>
        <w:rPr>
          <w:rFonts w:eastAsia="MS Mincho"/>
          <w:sz w:val="24"/>
        </w:rPr>
      </w:pPr>
    </w:p>
    <w:p w14:paraId="1407BAE1" w14:textId="77777777" w:rsidR="00135816" w:rsidRPr="000A5F7D" w:rsidRDefault="00135816">
      <w:pPr>
        <w:tabs>
          <w:tab w:val="left" w:pos="-263"/>
        </w:tabs>
        <w:jc w:val="both"/>
        <w:rPr>
          <w:rFonts w:eastAsia="MS Mincho"/>
          <w:sz w:val="24"/>
        </w:rPr>
      </w:pPr>
      <w:r w:rsidRPr="00022EF1">
        <w:rPr>
          <w:rFonts w:eastAsia="MS Mincho"/>
          <w:b/>
          <w:sz w:val="24"/>
          <w:u w:val="single"/>
        </w:rPr>
        <w:t>Solar Turbines</w:t>
      </w:r>
      <w:r w:rsidR="00022EF1">
        <w:rPr>
          <w:rFonts w:eastAsia="MS Mincho"/>
          <w:b/>
          <w:sz w:val="24"/>
          <w:u w:val="single"/>
        </w:rPr>
        <w:t>:</w:t>
      </w:r>
      <w:r w:rsidRPr="000A5F7D">
        <w:rPr>
          <w:rFonts w:eastAsia="MS Mincho"/>
          <w:sz w:val="24"/>
        </w:rPr>
        <w:t xml:space="preserve"> Mr. Hung of Solar Turbines in </w:t>
      </w:r>
      <w:smartTag w:uri="urn:schemas-microsoft-com:office:smarttags" w:element="place">
        <w:smartTag w:uri="urn:schemas-microsoft-com:office:smarttags" w:element="City">
          <w:r w:rsidRPr="000A5F7D">
            <w:rPr>
              <w:rFonts w:eastAsia="MS Mincho"/>
              <w:sz w:val="24"/>
            </w:rPr>
            <w:t>San Diego</w:t>
          </w:r>
        </w:smartTag>
        <w:r w:rsidRPr="000A5F7D">
          <w:rPr>
            <w:rFonts w:eastAsia="MS Mincho"/>
            <w:sz w:val="24"/>
          </w:rPr>
          <w:t xml:space="preserve">, </w:t>
        </w:r>
        <w:smartTag w:uri="urn:schemas-microsoft-com:office:smarttags" w:element="State">
          <w:r w:rsidRPr="000A5F7D">
            <w:rPr>
              <w:rFonts w:eastAsia="MS Mincho"/>
              <w:sz w:val="24"/>
            </w:rPr>
            <w:t>CA</w:t>
          </w:r>
        </w:smartTag>
      </w:smartTag>
      <w:r w:rsidRPr="000A5F7D">
        <w:rPr>
          <w:rFonts w:eastAsia="MS Mincho"/>
          <w:sz w:val="24"/>
        </w:rPr>
        <w:t>, stated that Solar provides PEMS/CEMS programs for every turbine that the company manufactures, regardless of the turbine's date of construction.  Michelle Long, a Solar permitting engineer (619-694-1602), said that the cost of providing the PEMS/CEMS software for a new or recent vintage Solar turbine was $35K to $40K per turbine.  Whether or not the PEMS/CEMS software is installed, all new and recent vintage Solar turbines come equipped with the sensors that provide the data used as PEMS/CEMS input.  Solar turbines older than about 8 years would need the sensors installed.</w:t>
      </w:r>
    </w:p>
    <w:p w14:paraId="0798F87F" w14:textId="77777777" w:rsidR="00135816" w:rsidRPr="000A5F7D" w:rsidRDefault="00135816">
      <w:pPr>
        <w:tabs>
          <w:tab w:val="left" w:pos="-263"/>
        </w:tabs>
        <w:jc w:val="both"/>
        <w:rPr>
          <w:rFonts w:eastAsia="MS Mincho"/>
          <w:sz w:val="24"/>
        </w:rPr>
      </w:pPr>
    </w:p>
    <w:p w14:paraId="1281E0CE" w14:textId="77777777" w:rsidR="00135816" w:rsidRPr="000A5F7D" w:rsidRDefault="00135816">
      <w:pPr>
        <w:tabs>
          <w:tab w:val="left" w:pos="-263"/>
        </w:tabs>
        <w:jc w:val="both"/>
        <w:rPr>
          <w:rFonts w:eastAsia="MS Mincho"/>
          <w:sz w:val="24"/>
        </w:rPr>
      </w:pPr>
      <w:r w:rsidRPr="000A5F7D">
        <w:rPr>
          <w:rFonts w:eastAsia="MS Mincho"/>
          <w:sz w:val="24"/>
        </w:rPr>
        <w:t xml:space="preserve">Solar's PEMS/CEMS is of the first-principles type that relies on only two variables to completely </w:t>
      </w:r>
      <w:r w:rsidRPr="000A5F7D">
        <w:rPr>
          <w:rFonts w:eastAsia="MS Mincho"/>
          <w:sz w:val="24"/>
        </w:rPr>
        <w:lastRenderedPageBreak/>
        <w:t>characterize the emission profile of a turbine. For Solar's simple-cycle, two-shaft turbines, these two variables are T</w:t>
      </w:r>
      <w:r w:rsidRPr="000A5F7D">
        <w:rPr>
          <w:rFonts w:eastAsia="MS Mincho"/>
          <w:sz w:val="24"/>
          <w:vertAlign w:val="subscript"/>
        </w:rPr>
        <w:t>1</w:t>
      </w:r>
      <w:r w:rsidRPr="000A5F7D">
        <w:rPr>
          <w:rFonts w:eastAsia="MS Mincho"/>
          <w:sz w:val="24"/>
        </w:rPr>
        <w:t>, the ambient air temperature, and T</w:t>
      </w:r>
      <w:r w:rsidRPr="000A5F7D">
        <w:rPr>
          <w:rFonts w:eastAsia="MS Mincho"/>
          <w:sz w:val="24"/>
          <w:vertAlign w:val="subscript"/>
        </w:rPr>
        <w:t>5</w:t>
      </w:r>
      <w:r w:rsidRPr="000A5F7D">
        <w:rPr>
          <w:rFonts w:eastAsia="MS Mincho"/>
          <w:sz w:val="24"/>
        </w:rPr>
        <w:t>, the power turbine inlet air temperature. Figure 1 shows the location of these temperatures. These temperatures are easily and accurately measured, and when fed into a computer program, give reliable NOx and CO emission rates.</w:t>
      </w:r>
    </w:p>
    <w:p w14:paraId="1B99E8F3" w14:textId="77777777" w:rsidR="00135816" w:rsidRPr="000A5F7D" w:rsidRDefault="00135816">
      <w:pPr>
        <w:tabs>
          <w:tab w:val="left" w:pos="-263"/>
        </w:tabs>
        <w:rPr>
          <w:rFonts w:eastAsia="MS Mincho"/>
          <w:sz w:val="24"/>
        </w:rPr>
      </w:pPr>
    </w:p>
    <w:p w14:paraId="7A8A68E6" w14:textId="77777777" w:rsidR="00135816" w:rsidRPr="000A5F7D" w:rsidRDefault="00135816">
      <w:pPr>
        <w:tabs>
          <w:tab w:val="left" w:pos="-263"/>
        </w:tabs>
        <w:rPr>
          <w:rFonts w:eastAsia="MS Mincho"/>
          <w:sz w:val="24"/>
        </w:rPr>
      </w:pPr>
      <w:r w:rsidRPr="00022EF1">
        <w:rPr>
          <w:rFonts w:eastAsia="MS Mincho"/>
          <w:b/>
          <w:sz w:val="24"/>
          <w:u w:val="single"/>
        </w:rPr>
        <w:t>General Electric Turbines</w:t>
      </w:r>
      <w:r w:rsidR="00022EF1" w:rsidRPr="00022EF1">
        <w:rPr>
          <w:rFonts w:eastAsia="MS Mincho"/>
          <w:b/>
          <w:sz w:val="24"/>
        </w:rPr>
        <w:t>:</w:t>
      </w:r>
      <w:r w:rsidRPr="000A5F7D">
        <w:rPr>
          <w:rFonts w:eastAsia="MS Mincho"/>
          <w:sz w:val="24"/>
        </w:rPr>
        <w:t xml:space="preserve"> General Electric offers its trademarked GTPEMS/CEMS system to predict NOx emissions from GE turbines. GTPEMS/CEMS is a hybrid model that uses "real" data to calibrate the first-principles model. According to a GE brochure, GTPEMS/CEMS is available for all GE turbines. Mr. Chris </w:t>
      </w:r>
      <w:proofErr w:type="spellStart"/>
      <w:r w:rsidRPr="000A5F7D">
        <w:rPr>
          <w:rFonts w:eastAsia="MS Mincho"/>
          <w:sz w:val="24"/>
        </w:rPr>
        <w:t>Forland</w:t>
      </w:r>
      <w:proofErr w:type="spellEnd"/>
      <w:r w:rsidRPr="000A5F7D">
        <w:rPr>
          <w:rFonts w:eastAsia="MS Mincho"/>
          <w:sz w:val="24"/>
        </w:rPr>
        <w:t xml:space="preserve"> of GE Reuter-Stokes in </w:t>
      </w:r>
      <w:smartTag w:uri="urn:schemas-microsoft-com:office:smarttags" w:element="place">
        <w:smartTag w:uri="urn:schemas-microsoft-com:office:smarttags" w:element="City">
          <w:r w:rsidRPr="000A5F7D">
            <w:rPr>
              <w:rFonts w:eastAsia="MS Mincho"/>
              <w:sz w:val="24"/>
            </w:rPr>
            <w:t>Cleveland</w:t>
          </w:r>
        </w:smartTag>
        <w:r w:rsidRPr="000A5F7D">
          <w:rPr>
            <w:rFonts w:eastAsia="MS Mincho"/>
            <w:sz w:val="24"/>
          </w:rPr>
          <w:t xml:space="preserve">, </w:t>
        </w:r>
        <w:smartTag w:uri="urn:schemas-microsoft-com:office:smarttags" w:element="State">
          <w:r w:rsidRPr="000A5F7D">
            <w:rPr>
              <w:rFonts w:eastAsia="MS Mincho"/>
              <w:sz w:val="24"/>
            </w:rPr>
            <w:t>OH</w:t>
          </w:r>
        </w:smartTag>
      </w:smartTag>
      <w:r w:rsidRPr="000A5F7D">
        <w:rPr>
          <w:rFonts w:eastAsia="MS Mincho"/>
          <w:sz w:val="24"/>
        </w:rPr>
        <w:t>, stated that the company charges about $150,000 to outfit an existing turbine with GTPEMS/CEMS.  The cost of outfitting additional turbines at the same site is about $100,000 each.</w:t>
      </w:r>
    </w:p>
    <w:p w14:paraId="2AE7295B" w14:textId="77777777" w:rsidR="00165151" w:rsidRPr="000A5F7D" w:rsidRDefault="00165151">
      <w:pPr>
        <w:tabs>
          <w:tab w:val="left" w:pos="-263"/>
        </w:tabs>
        <w:rPr>
          <w:rFonts w:eastAsia="MS Mincho"/>
          <w:sz w:val="24"/>
        </w:rPr>
      </w:pPr>
    </w:p>
    <w:p w14:paraId="012A4DD2" w14:textId="77777777" w:rsidR="00135816" w:rsidRPr="000A5F7D" w:rsidRDefault="00135816" w:rsidP="005C6E36">
      <w:pPr>
        <w:jc w:val="center"/>
        <w:rPr>
          <w:rFonts w:eastAsia="MS Mincho"/>
          <w:sz w:val="24"/>
        </w:rPr>
      </w:pPr>
      <w:r w:rsidRPr="000A5F7D">
        <w:rPr>
          <w:rFonts w:eastAsia="MS Mincho"/>
          <w:b/>
          <w:bCs/>
          <w:sz w:val="24"/>
          <w:u w:val="single"/>
        </w:rPr>
        <w:t>JUSTIFICATION</w:t>
      </w:r>
    </w:p>
    <w:p w14:paraId="4EF828E3" w14:textId="77777777" w:rsidR="00135816" w:rsidRPr="000A5F7D" w:rsidRDefault="00135816" w:rsidP="005C6E36">
      <w:pPr>
        <w:jc w:val="center"/>
        <w:rPr>
          <w:rFonts w:eastAsia="MS Mincho"/>
          <w:sz w:val="24"/>
        </w:rPr>
      </w:pPr>
      <w:r w:rsidRPr="000A5F7D">
        <w:rPr>
          <w:rFonts w:eastAsia="MS Mincho"/>
          <w:sz w:val="24"/>
        </w:rPr>
        <w:t>(Not for inclusion in permit)</w:t>
      </w:r>
    </w:p>
    <w:p w14:paraId="21455DC4" w14:textId="77777777" w:rsidR="00135816" w:rsidRPr="000A5F7D" w:rsidRDefault="00135816">
      <w:pPr>
        <w:tabs>
          <w:tab w:val="left" w:pos="-263"/>
        </w:tabs>
        <w:rPr>
          <w:rFonts w:eastAsia="MS Mincho"/>
          <w:sz w:val="24"/>
        </w:rPr>
      </w:pPr>
    </w:p>
    <w:p w14:paraId="7D2AEA36" w14:textId="77777777" w:rsidR="006D5F13" w:rsidRDefault="006D5F13" w:rsidP="006D5F13">
      <w:pPr>
        <w:tabs>
          <w:tab w:val="left" w:pos="-263"/>
        </w:tabs>
        <w:rPr>
          <w:rFonts w:eastAsia="MS Mincho"/>
          <w:sz w:val="24"/>
        </w:rPr>
      </w:pPr>
      <w:r w:rsidRPr="006D5F13">
        <w:rPr>
          <w:rFonts w:eastAsia="MS Mincho"/>
          <w:b/>
          <w:sz w:val="24"/>
          <w:u w:val="single"/>
        </w:rPr>
        <w:t>Periodic Emission Test:</w:t>
      </w:r>
      <w:r w:rsidRPr="006D5F13">
        <w:rPr>
          <w:rFonts w:eastAsia="MS Mincho"/>
          <w:sz w:val="24"/>
        </w:rPr>
        <w:t xml:space="preserve"> Exhaust gas NOx and CO emission rate measurements using a portable analyzer: </w:t>
      </w:r>
      <w:r w:rsidRPr="000A5F7D">
        <w:rPr>
          <w:rFonts w:eastAsia="MS Mincho"/>
          <w:sz w:val="24"/>
        </w:rPr>
        <w:t xml:space="preserve"> </w:t>
      </w:r>
      <w:r>
        <w:rPr>
          <w:rFonts w:eastAsia="MS Mincho"/>
          <w:sz w:val="24"/>
        </w:rPr>
        <w:t xml:space="preserve">All turbines </w:t>
      </w:r>
      <w:r w:rsidRPr="000A5F7D">
        <w:rPr>
          <w:rFonts w:eastAsia="MS Mincho"/>
          <w:sz w:val="24"/>
        </w:rPr>
        <w:t>without a PEMS/CEMS will be required to have periodic emissions tests</w:t>
      </w:r>
      <w:r>
        <w:rPr>
          <w:rFonts w:eastAsia="MS Mincho"/>
          <w:sz w:val="24"/>
        </w:rPr>
        <w:t xml:space="preserve"> and measure the fuel flow annually</w:t>
      </w:r>
      <w:r w:rsidRPr="000A5F7D">
        <w:rPr>
          <w:rFonts w:eastAsia="MS Mincho"/>
          <w:sz w:val="24"/>
        </w:rPr>
        <w:t>.</w:t>
      </w:r>
      <w:r>
        <w:rPr>
          <w:rFonts w:eastAsia="MS Mincho"/>
          <w:sz w:val="24"/>
        </w:rPr>
        <w:t xml:space="preserve"> </w:t>
      </w:r>
      <w:r w:rsidRPr="000A5F7D">
        <w:rPr>
          <w:rFonts w:eastAsia="MS Mincho"/>
          <w:sz w:val="24"/>
        </w:rPr>
        <w:t xml:space="preserve">As explained in the background section of this document, with PEMS/CEMS as the primary compliance tool, very little information is to be gained from the use of a portable analyzer to measure species mass emissions from a turbine. </w:t>
      </w:r>
    </w:p>
    <w:p w14:paraId="72681ACA" w14:textId="77777777" w:rsidR="00135816" w:rsidRPr="000A5F7D" w:rsidRDefault="00135816">
      <w:pPr>
        <w:tabs>
          <w:tab w:val="left" w:pos="-263"/>
        </w:tabs>
        <w:rPr>
          <w:rFonts w:eastAsia="MS Mincho"/>
          <w:sz w:val="24"/>
        </w:rPr>
      </w:pPr>
    </w:p>
    <w:p w14:paraId="1ED8BD48" w14:textId="77777777" w:rsidR="006D5F13" w:rsidRPr="00D86389" w:rsidRDefault="00135816" w:rsidP="006D5F13">
      <w:pPr>
        <w:tabs>
          <w:tab w:val="left" w:pos="-263"/>
        </w:tabs>
        <w:rPr>
          <w:rFonts w:eastAsia="MS Mincho"/>
          <w:color w:val="FF33CC"/>
          <w:sz w:val="24"/>
        </w:rPr>
      </w:pPr>
      <w:r w:rsidRPr="006D5F13">
        <w:rPr>
          <w:rFonts w:eastAsia="MS Mincho"/>
          <w:b/>
          <w:sz w:val="24"/>
          <w:u w:val="single"/>
        </w:rPr>
        <w:t>Requirement for RATA on PEMS/CEMS</w:t>
      </w:r>
      <w:r w:rsidR="006D5F13" w:rsidRPr="006D5F13">
        <w:rPr>
          <w:rFonts w:eastAsia="MS Mincho"/>
          <w:b/>
          <w:sz w:val="24"/>
          <w:u w:val="single"/>
        </w:rPr>
        <w:t>:</w:t>
      </w:r>
      <w:r w:rsidRPr="000A5F7D">
        <w:rPr>
          <w:rFonts w:eastAsia="MS Mincho"/>
          <w:sz w:val="24"/>
        </w:rPr>
        <w:t xml:space="preserve">  A PEMS/CEMS, like a CEMS, should be certified before accepting its results.  </w:t>
      </w:r>
      <w:r w:rsidRPr="00D86389">
        <w:rPr>
          <w:rFonts w:eastAsia="MS Mincho"/>
          <w:color w:val="FF33CC"/>
          <w:sz w:val="24"/>
        </w:rPr>
        <w:t>The RATA may be waived for PEMS/CEMS with a proven track record for the particular type of turbine in question.</w:t>
      </w:r>
    </w:p>
    <w:p w14:paraId="7BE23D68" w14:textId="77777777" w:rsidR="006D5F13" w:rsidRDefault="006D5F13" w:rsidP="006D5F13">
      <w:pPr>
        <w:tabs>
          <w:tab w:val="left" w:pos="-263"/>
        </w:tabs>
        <w:rPr>
          <w:rFonts w:eastAsia="MS Mincho"/>
          <w:sz w:val="24"/>
        </w:rPr>
      </w:pPr>
    </w:p>
    <w:p w14:paraId="315ABF36" w14:textId="77777777" w:rsidR="006D5F13" w:rsidRPr="000A5F7D" w:rsidRDefault="006D5F13" w:rsidP="006D5F13">
      <w:pPr>
        <w:tabs>
          <w:tab w:val="left" w:pos="-263"/>
        </w:tabs>
        <w:rPr>
          <w:rFonts w:eastAsia="MS Mincho"/>
          <w:sz w:val="24"/>
        </w:rPr>
      </w:pPr>
      <w:r w:rsidRPr="006D5F13">
        <w:rPr>
          <w:rFonts w:eastAsia="MS Mincho"/>
          <w:b/>
          <w:sz w:val="24"/>
          <w:u w:val="single"/>
        </w:rPr>
        <w:t>Requirement for a PEMS/CEMS:</w:t>
      </w:r>
      <w:r w:rsidRPr="000A5F7D">
        <w:rPr>
          <w:rFonts w:eastAsia="MS Mincho"/>
          <w:sz w:val="24"/>
        </w:rPr>
        <w:t xml:space="preserve">  Due to its high cost, the Bureau will not require a PEMS/CEMS for turbines.</w:t>
      </w:r>
    </w:p>
    <w:p w14:paraId="01663AFC" w14:textId="77777777" w:rsidR="00135816" w:rsidRPr="000A5F7D" w:rsidRDefault="00135816">
      <w:pPr>
        <w:tabs>
          <w:tab w:val="left" w:pos="-263"/>
        </w:tabs>
        <w:rPr>
          <w:rFonts w:eastAsia="MS Mincho"/>
          <w:sz w:val="24"/>
        </w:rPr>
      </w:pPr>
    </w:p>
    <w:p w14:paraId="49F18A25" w14:textId="77777777" w:rsidR="00135816" w:rsidRPr="000A5F7D" w:rsidRDefault="00135816">
      <w:pPr>
        <w:rPr>
          <w:rFonts w:eastAsia="MS Mincho"/>
          <w:sz w:val="24"/>
        </w:rPr>
      </w:pPr>
      <w:r w:rsidRPr="000A5F7D">
        <w:rPr>
          <w:rFonts w:eastAsia="MS Mincho"/>
          <w:b/>
          <w:bCs/>
          <w:sz w:val="24"/>
          <w:u w:val="single"/>
        </w:rPr>
        <w:t>REFERENCES</w:t>
      </w:r>
    </w:p>
    <w:p w14:paraId="524D9AE9" w14:textId="77777777" w:rsidR="00135816" w:rsidRPr="000A5F7D" w:rsidRDefault="00135816">
      <w:pPr>
        <w:tabs>
          <w:tab w:val="left" w:pos="-263"/>
        </w:tabs>
        <w:rPr>
          <w:rFonts w:eastAsia="MS Mincho"/>
          <w:sz w:val="24"/>
        </w:rPr>
      </w:pPr>
      <w:r w:rsidRPr="000A5F7D">
        <w:rPr>
          <w:rFonts w:eastAsia="MS Mincho"/>
          <w:sz w:val="24"/>
        </w:rPr>
        <w:t xml:space="preserve">1. </w:t>
      </w:r>
      <w:r w:rsidRPr="000A5F7D">
        <w:rPr>
          <w:rFonts w:eastAsia="MS Mincho"/>
          <w:sz w:val="24"/>
          <w:u w:val="single"/>
        </w:rPr>
        <w:t>Predictive Emission Monitoring System (PEMS/CEMS):  The Established NOx Monitoring System for Industrial Gas Turbines</w:t>
      </w:r>
      <w:r w:rsidRPr="000A5F7D">
        <w:rPr>
          <w:rFonts w:eastAsia="MS Mincho"/>
          <w:sz w:val="24"/>
        </w:rPr>
        <w:t>, Wilfred S.Y. Hung, Solar Turbines Inc., San Diego, CA, paper presented at 88th Annual AWMA Meeting, San Antonio, TX, June 1995;</w:t>
      </w:r>
    </w:p>
    <w:p w14:paraId="063CD06A" w14:textId="77777777" w:rsidR="00135816" w:rsidRPr="000A5F7D" w:rsidRDefault="00135816">
      <w:pPr>
        <w:tabs>
          <w:tab w:val="left" w:pos="-263"/>
        </w:tabs>
        <w:rPr>
          <w:rFonts w:eastAsia="MS Mincho"/>
          <w:sz w:val="24"/>
        </w:rPr>
      </w:pPr>
    </w:p>
    <w:p w14:paraId="661417F8" w14:textId="77777777" w:rsidR="00135816" w:rsidRPr="000A5F7D" w:rsidRDefault="00135816">
      <w:pPr>
        <w:tabs>
          <w:tab w:val="left" w:pos="-263"/>
        </w:tabs>
        <w:rPr>
          <w:rFonts w:eastAsia="MS Mincho"/>
          <w:sz w:val="24"/>
        </w:rPr>
      </w:pPr>
      <w:r w:rsidRPr="000A5F7D">
        <w:rPr>
          <w:rFonts w:eastAsia="MS Mincho"/>
          <w:sz w:val="24"/>
        </w:rPr>
        <w:t xml:space="preserve">2. </w:t>
      </w:r>
      <w:r w:rsidRPr="000A5F7D">
        <w:rPr>
          <w:rFonts w:eastAsia="MS Mincho"/>
          <w:sz w:val="24"/>
          <w:u w:val="single"/>
        </w:rPr>
        <w:t>Code of Federal Regulations</w:t>
      </w:r>
      <w:r w:rsidRPr="000A5F7D">
        <w:rPr>
          <w:rFonts w:eastAsia="MS Mincho"/>
          <w:sz w:val="24"/>
        </w:rPr>
        <w:t>, Title 40, Part 60, Subpart GG (Standards of Performance for Stationary Gas Turbines), 60.330 et seq;</w:t>
      </w:r>
    </w:p>
    <w:p w14:paraId="2BE87E67" w14:textId="77777777" w:rsidR="00135816" w:rsidRPr="000A5F7D" w:rsidRDefault="00135816">
      <w:pPr>
        <w:tabs>
          <w:tab w:val="left" w:pos="-263"/>
        </w:tabs>
        <w:rPr>
          <w:rFonts w:eastAsia="MS Mincho"/>
          <w:sz w:val="24"/>
        </w:rPr>
      </w:pPr>
    </w:p>
    <w:p w14:paraId="1146122F" w14:textId="77777777" w:rsidR="00135816" w:rsidRPr="000A5F7D" w:rsidRDefault="00135816">
      <w:pPr>
        <w:tabs>
          <w:tab w:val="left" w:pos="-263"/>
        </w:tabs>
        <w:rPr>
          <w:rFonts w:eastAsia="MS Mincho"/>
          <w:sz w:val="24"/>
        </w:rPr>
      </w:pPr>
      <w:r w:rsidRPr="000A5F7D">
        <w:rPr>
          <w:rFonts w:eastAsia="MS Mincho"/>
          <w:sz w:val="24"/>
        </w:rPr>
        <w:t xml:space="preserve">3. </w:t>
      </w:r>
      <w:r w:rsidRPr="000A5F7D">
        <w:rPr>
          <w:rFonts w:eastAsia="MS Mincho"/>
          <w:sz w:val="24"/>
          <w:u w:val="single"/>
        </w:rPr>
        <w:t>NOx Emission Control For Gas Turbines:  A 1995 Update on Regulations and Technology</w:t>
      </w:r>
      <w:r w:rsidRPr="000A5F7D">
        <w:rPr>
          <w:rFonts w:eastAsia="MS Mincho"/>
          <w:sz w:val="24"/>
        </w:rPr>
        <w:t xml:space="preserve">, Marvin M. Schorr, GE Power Systems, </w:t>
      </w:r>
      <w:smartTag w:uri="urn:schemas-microsoft-com:office:smarttags" w:element="City">
        <w:r w:rsidRPr="000A5F7D">
          <w:rPr>
            <w:rFonts w:eastAsia="MS Mincho"/>
            <w:sz w:val="24"/>
          </w:rPr>
          <w:t>Schenectady</w:t>
        </w:r>
      </w:smartTag>
      <w:r w:rsidRPr="000A5F7D">
        <w:rPr>
          <w:rFonts w:eastAsia="MS Mincho"/>
          <w:sz w:val="24"/>
        </w:rPr>
        <w:t xml:space="preserve">, </w:t>
      </w:r>
      <w:smartTag w:uri="urn:schemas-microsoft-com:office:smarttags" w:element="State">
        <w:r w:rsidRPr="000A5F7D">
          <w:rPr>
            <w:rFonts w:eastAsia="MS Mincho"/>
            <w:sz w:val="24"/>
          </w:rPr>
          <w:t>NY</w:t>
        </w:r>
      </w:smartTag>
      <w:r w:rsidRPr="000A5F7D">
        <w:rPr>
          <w:rFonts w:eastAsia="MS Mincho"/>
          <w:sz w:val="24"/>
        </w:rPr>
        <w:t xml:space="preserve">, paper presented at the CIBO NOx Control VIII Conference, </w:t>
      </w:r>
      <w:smartTag w:uri="urn:schemas-microsoft-com:office:smarttags" w:element="place">
        <w:smartTag w:uri="urn:schemas-microsoft-com:office:smarttags" w:element="City">
          <w:r w:rsidRPr="000A5F7D">
            <w:rPr>
              <w:rFonts w:eastAsia="MS Mincho"/>
              <w:sz w:val="24"/>
            </w:rPr>
            <w:t>Philadelphia</w:t>
          </w:r>
        </w:smartTag>
        <w:r w:rsidRPr="000A5F7D">
          <w:rPr>
            <w:rFonts w:eastAsia="MS Mincho"/>
            <w:sz w:val="24"/>
          </w:rPr>
          <w:t xml:space="preserve">, </w:t>
        </w:r>
        <w:smartTag w:uri="urn:schemas-microsoft-com:office:smarttags" w:element="State">
          <w:r w:rsidRPr="000A5F7D">
            <w:rPr>
              <w:rFonts w:eastAsia="MS Mincho"/>
              <w:sz w:val="24"/>
            </w:rPr>
            <w:t>PA</w:t>
          </w:r>
        </w:smartTag>
      </w:smartTag>
      <w:r w:rsidRPr="000A5F7D">
        <w:rPr>
          <w:rFonts w:eastAsia="MS Mincho"/>
          <w:sz w:val="24"/>
        </w:rPr>
        <w:t>, March 1995;</w:t>
      </w:r>
    </w:p>
    <w:p w14:paraId="4834439B" w14:textId="77777777" w:rsidR="00135816" w:rsidRPr="000A5F7D" w:rsidRDefault="00135816">
      <w:pPr>
        <w:tabs>
          <w:tab w:val="left" w:pos="-263"/>
        </w:tabs>
        <w:rPr>
          <w:rFonts w:eastAsia="MS Mincho"/>
          <w:sz w:val="24"/>
        </w:rPr>
      </w:pPr>
    </w:p>
    <w:p w14:paraId="1812636F" w14:textId="77777777" w:rsidR="00135816" w:rsidRPr="000A5F7D" w:rsidRDefault="00135816">
      <w:pPr>
        <w:tabs>
          <w:tab w:val="left" w:pos="-263"/>
        </w:tabs>
        <w:rPr>
          <w:rFonts w:eastAsia="MS Mincho"/>
          <w:sz w:val="24"/>
        </w:rPr>
      </w:pPr>
      <w:r w:rsidRPr="000A5F7D">
        <w:rPr>
          <w:rFonts w:eastAsia="MS Mincho"/>
          <w:sz w:val="24"/>
        </w:rPr>
        <w:t xml:space="preserve">4. </w:t>
      </w:r>
      <w:r w:rsidRPr="000A5F7D">
        <w:rPr>
          <w:rFonts w:eastAsia="MS Mincho"/>
          <w:sz w:val="24"/>
          <w:u w:val="single"/>
        </w:rPr>
        <w:t>GE G</w:t>
      </w:r>
      <w:smartTag w:uri="urn:schemas-microsoft-com:office:smarttags" w:element="PersonName">
        <w:r w:rsidRPr="000A5F7D">
          <w:rPr>
            <w:rFonts w:eastAsia="MS Mincho"/>
            <w:sz w:val="24"/>
            <w:u w:val="single"/>
          </w:rPr>
          <w:t>a</w:t>
        </w:r>
      </w:smartTag>
      <w:r w:rsidRPr="000A5F7D">
        <w:rPr>
          <w:rFonts w:eastAsia="MS Mincho"/>
          <w:sz w:val="24"/>
          <w:u w:val="single"/>
        </w:rPr>
        <w:t>s Turbine Perform</w:t>
      </w:r>
      <w:smartTag w:uri="urn:schemas-microsoft-com:office:smarttags" w:element="PersonName">
        <w:r w:rsidRPr="000A5F7D">
          <w:rPr>
            <w:rFonts w:eastAsia="MS Mincho"/>
            <w:sz w:val="24"/>
            <w:u w:val="single"/>
          </w:rPr>
          <w:t>a</w:t>
        </w:r>
      </w:smartTag>
      <w:r w:rsidRPr="000A5F7D">
        <w:rPr>
          <w:rFonts w:eastAsia="MS Mincho"/>
          <w:sz w:val="24"/>
          <w:u w:val="single"/>
        </w:rPr>
        <w:t>nce Ch</w:t>
      </w:r>
      <w:smartTag w:uri="urn:schemas-microsoft-com:office:smarttags" w:element="PersonName">
        <w:r w:rsidRPr="000A5F7D">
          <w:rPr>
            <w:rFonts w:eastAsia="MS Mincho"/>
            <w:sz w:val="24"/>
            <w:u w:val="single"/>
          </w:rPr>
          <w:t>a</w:t>
        </w:r>
      </w:smartTag>
      <w:r w:rsidRPr="000A5F7D">
        <w:rPr>
          <w:rFonts w:eastAsia="MS Mincho"/>
          <w:sz w:val="24"/>
          <w:u w:val="single"/>
        </w:rPr>
        <w:t>r</w:t>
      </w:r>
      <w:smartTag w:uri="urn:schemas-microsoft-com:office:smarttags" w:element="PersonName">
        <w:r w:rsidRPr="000A5F7D">
          <w:rPr>
            <w:rFonts w:eastAsia="MS Mincho"/>
            <w:sz w:val="24"/>
            <w:u w:val="single"/>
          </w:rPr>
          <w:t>a</w:t>
        </w:r>
      </w:smartTag>
      <w:r w:rsidRPr="000A5F7D">
        <w:rPr>
          <w:rFonts w:eastAsia="MS Mincho"/>
          <w:sz w:val="24"/>
          <w:u w:val="single"/>
        </w:rPr>
        <w:t>cteristics</w:t>
      </w:r>
      <w:r w:rsidRPr="000A5F7D">
        <w:rPr>
          <w:rFonts w:eastAsia="MS Mincho"/>
          <w:sz w:val="24"/>
        </w:rPr>
        <w:t>, F.J. Brooks, GE Industri</w:t>
      </w:r>
      <w:smartTag w:uri="urn:schemas-microsoft-com:office:smarttags" w:element="PersonName">
        <w:r w:rsidRPr="000A5F7D">
          <w:rPr>
            <w:rFonts w:eastAsia="MS Mincho"/>
            <w:sz w:val="24"/>
          </w:rPr>
          <w:t>a</w:t>
        </w:r>
      </w:smartTag>
      <w:r w:rsidRPr="000A5F7D">
        <w:rPr>
          <w:rFonts w:eastAsia="MS Mincho"/>
          <w:sz w:val="24"/>
        </w:rPr>
        <w:t xml:space="preserve">l Power Systems, </w:t>
      </w:r>
      <w:smartTag w:uri="urn:schemas-microsoft-com:office:smarttags" w:element="place">
        <w:smartTag w:uri="urn:schemas-microsoft-com:office:smarttags" w:element="City">
          <w:r w:rsidRPr="000A5F7D">
            <w:rPr>
              <w:rFonts w:eastAsia="MS Mincho"/>
              <w:sz w:val="24"/>
            </w:rPr>
            <w:t>Schenect</w:t>
          </w:r>
          <w:smartTag w:uri="urn:schemas-microsoft-com:office:smarttags" w:element="PersonName">
            <w:r w:rsidRPr="000A5F7D">
              <w:rPr>
                <w:rFonts w:eastAsia="MS Mincho"/>
                <w:sz w:val="24"/>
              </w:rPr>
              <w:t>a</w:t>
            </w:r>
          </w:smartTag>
          <w:r w:rsidRPr="000A5F7D">
            <w:rPr>
              <w:rFonts w:eastAsia="MS Mincho"/>
              <w:sz w:val="24"/>
            </w:rPr>
            <w:t>dy</w:t>
          </w:r>
        </w:smartTag>
        <w:r w:rsidRPr="000A5F7D">
          <w:rPr>
            <w:rFonts w:eastAsia="MS Mincho"/>
            <w:sz w:val="24"/>
          </w:rPr>
          <w:t xml:space="preserve">, </w:t>
        </w:r>
        <w:smartTag w:uri="urn:schemas-microsoft-com:office:smarttags" w:element="State">
          <w:r w:rsidRPr="000A5F7D">
            <w:rPr>
              <w:rFonts w:eastAsia="MS Mincho"/>
              <w:sz w:val="24"/>
            </w:rPr>
            <w:t>NY</w:t>
          </w:r>
        </w:smartTag>
      </w:smartTag>
      <w:r w:rsidRPr="000A5F7D">
        <w:rPr>
          <w:rFonts w:eastAsia="MS Mincho"/>
          <w:sz w:val="24"/>
        </w:rPr>
        <w:t>, document no. GER-3567E, September 1994.</w:t>
      </w:r>
    </w:p>
    <w:sectPr w:rsidR="00135816" w:rsidRPr="000A5F7D" w:rsidSect="003A6F10">
      <w:footerReference w:type="default" r:id="rId7"/>
      <w:endnotePr>
        <w:numFmt w:val="decimal"/>
      </w:endnotePr>
      <w:type w:val="continuous"/>
      <w:pgSz w:w="12240" w:h="15840"/>
      <w:pgMar w:top="1440" w:right="1440" w:bottom="1440" w:left="1440" w:header="720" w:footer="37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132D1" w14:textId="77777777" w:rsidR="00315621" w:rsidRDefault="00315621">
      <w:r>
        <w:separator/>
      </w:r>
    </w:p>
  </w:endnote>
  <w:endnote w:type="continuationSeparator" w:id="0">
    <w:p w14:paraId="23C3B8AD" w14:textId="77777777" w:rsidR="00315621" w:rsidRDefault="00315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608AD" w14:textId="77777777" w:rsidR="002016FF" w:rsidRDefault="002016FF">
    <w:pPr>
      <w:pStyle w:val="Header"/>
    </w:pPr>
    <w:r>
      <w:t>Turbine Monitoring Protocol</w:t>
    </w:r>
    <w:r>
      <w:tab/>
    </w:r>
    <w:r>
      <w:tab/>
      <w:t>P</w:t>
    </w:r>
    <w:smartTag w:uri="urn:schemas-microsoft-com:office:smarttags" w:element="PersonName">
      <w:r>
        <w:t>a</w:t>
      </w:r>
    </w:smartTag>
    <w:r>
      <w:t xml:space="preserve">ge </w:t>
    </w:r>
    <w:r>
      <w:rPr>
        <w:rStyle w:val="PageNumber"/>
      </w:rPr>
      <w:fldChar w:fldCharType="begin"/>
    </w:r>
    <w:r>
      <w:rPr>
        <w:rStyle w:val="PageNumber"/>
      </w:rPr>
      <w:instrText xml:space="preserve"> PAGE </w:instrText>
    </w:r>
    <w:r>
      <w:rPr>
        <w:rStyle w:val="PageNumber"/>
      </w:rPr>
      <w:fldChar w:fldCharType="separate"/>
    </w:r>
    <w:r w:rsidR="004D468A">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D468A">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5AA70E" w14:textId="77777777" w:rsidR="00315621" w:rsidRDefault="00315621">
      <w:r>
        <w:separator/>
      </w:r>
    </w:p>
  </w:footnote>
  <w:footnote w:type="continuationSeparator" w:id="0">
    <w:p w14:paraId="39707368" w14:textId="77777777" w:rsidR="00315621" w:rsidRDefault="003156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E741E"/>
    <w:multiLevelType w:val="hybridMultilevel"/>
    <w:tmpl w:val="6CC68824"/>
    <w:lvl w:ilvl="0" w:tplc="472E04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52E200B"/>
    <w:multiLevelType w:val="hybridMultilevel"/>
    <w:tmpl w:val="9E28CF00"/>
    <w:lvl w:ilvl="0" w:tplc="8356FF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C74778"/>
    <w:multiLevelType w:val="multilevel"/>
    <w:tmpl w:val="63FE653E"/>
    <w:lvl w:ilvl="0">
      <w:start w:val="1"/>
      <w:numFmt w:val="upperLetter"/>
      <w:pStyle w:val="AQBCLvl-1"/>
      <w:lvlText w:val="%1."/>
      <w:lvlJc w:val="left"/>
      <w:pPr>
        <w:tabs>
          <w:tab w:val="num" w:pos="576"/>
        </w:tabs>
        <w:ind w:left="576" w:hanging="576"/>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CA9103F"/>
    <w:multiLevelType w:val="hybridMultilevel"/>
    <w:tmpl w:val="CC2C2958"/>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FAE66B1"/>
    <w:multiLevelType w:val="multilevel"/>
    <w:tmpl w:val="FFC28398"/>
    <w:lvl w:ilvl="0">
      <w:start w:val="200"/>
      <w:numFmt w:val="decimal"/>
      <w:isLgl/>
      <w:lvlText w:val="%1"/>
      <w:lvlJc w:val="left"/>
      <w:pPr>
        <w:tabs>
          <w:tab w:val="num" w:pos="0"/>
        </w:tabs>
        <w:ind w:left="0" w:firstLine="0"/>
      </w:pPr>
      <w:rPr>
        <w:rFonts w:hint="default"/>
        <w:u w:val="none"/>
      </w:rPr>
    </w:lvl>
    <w:lvl w:ilvl="1">
      <w:start w:val="1"/>
      <w:numFmt w:val="decimal"/>
      <w:lvlText w:val="%1.%2"/>
      <w:lvlJc w:val="left"/>
      <w:pPr>
        <w:tabs>
          <w:tab w:val="num" w:pos="1080"/>
        </w:tabs>
        <w:ind w:left="720" w:hanging="720"/>
      </w:pPr>
      <w:rPr>
        <w:rFonts w:hint="default"/>
      </w:rPr>
    </w:lvl>
    <w:lvl w:ilvl="2">
      <w:start w:val="1"/>
      <w:numFmt w:val="decimal"/>
      <w:lvlText w:val="%1.%3"/>
      <w:lvlJc w:val="left"/>
      <w:pPr>
        <w:tabs>
          <w:tab w:val="num" w:pos="1080"/>
        </w:tabs>
        <w:ind w:left="1080" w:hanging="108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36657173"/>
    <w:multiLevelType w:val="hybridMultilevel"/>
    <w:tmpl w:val="8962E95C"/>
    <w:lvl w:ilvl="0" w:tplc="A710A4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3227AE"/>
    <w:multiLevelType w:val="hybridMultilevel"/>
    <w:tmpl w:val="84D096A0"/>
    <w:lvl w:ilvl="0" w:tplc="6F98B586">
      <w:start w:val="2"/>
      <w:numFmt w:val="lowerLetter"/>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9440505"/>
    <w:multiLevelType w:val="multilevel"/>
    <w:tmpl w:val="F6AE174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E2B118D"/>
    <w:multiLevelType w:val="hybridMultilevel"/>
    <w:tmpl w:val="0A44449E"/>
    <w:lvl w:ilvl="0" w:tplc="2D2C5470">
      <w:start w:val="1"/>
      <w:numFmt w:val="upperLetter"/>
      <w:pStyle w:val="AQBLvl-1Condition"/>
      <w:lvlText w:val="%1."/>
      <w:lvlJc w:val="left"/>
      <w:pPr>
        <w:tabs>
          <w:tab w:val="num" w:pos="936"/>
        </w:tabs>
        <w:ind w:left="936" w:hanging="576"/>
      </w:pPr>
      <w:rPr>
        <w:rFonts w:hint="default"/>
      </w:rPr>
    </w:lvl>
    <w:lvl w:ilvl="1" w:tplc="0409000F">
      <w:start w:val="1"/>
      <w:numFmt w:val="decimal"/>
      <w:pStyle w:val="AQBLvl-2Condition"/>
      <w:lvlText w:val="(%2)"/>
      <w:lvlJc w:val="right"/>
      <w:pPr>
        <w:tabs>
          <w:tab w:val="num" w:pos="1440"/>
        </w:tabs>
        <w:ind w:left="1440" w:hanging="360"/>
      </w:pPr>
      <w:rPr>
        <w:rFonts w:hint="default"/>
      </w:rPr>
    </w:lvl>
    <w:lvl w:ilvl="2" w:tplc="0409001B">
      <w:start w:val="1"/>
      <w:numFmt w:val="lowerLetter"/>
      <w:pStyle w:val="AQBLvl-3Condition"/>
      <w:lvlText w:val="(%3)"/>
      <w:lvlJc w:val="left"/>
      <w:pPr>
        <w:tabs>
          <w:tab w:val="num" w:pos="2160"/>
        </w:tabs>
        <w:ind w:left="2160" w:hanging="720"/>
      </w:pPr>
      <w:rPr>
        <w:rFonts w:hint="default"/>
      </w:rPr>
    </w:lvl>
    <w:lvl w:ilvl="3" w:tplc="0409000F">
      <w:start w:val="1"/>
      <w:numFmt w:val="lowerRoman"/>
      <w:pStyle w:val="AQBLvl-4Condition"/>
      <w:lvlText w:val="%4."/>
      <w:lvlJc w:val="righ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4EC7362"/>
    <w:multiLevelType w:val="hybridMultilevel"/>
    <w:tmpl w:val="60DE8A98"/>
    <w:lvl w:ilvl="0" w:tplc="7480F6E0">
      <w:start w:val="3"/>
      <w:numFmt w:val="lowerLetter"/>
      <w:lvlText w:val="(%1)"/>
      <w:lvlJc w:val="left"/>
      <w:pPr>
        <w:tabs>
          <w:tab w:val="num" w:pos="1674"/>
        </w:tabs>
        <w:ind w:left="1674" w:hanging="435"/>
      </w:pPr>
      <w:rPr>
        <w:rFonts w:hint="default"/>
      </w:rPr>
    </w:lvl>
    <w:lvl w:ilvl="1" w:tplc="7158D198">
      <w:start w:val="1"/>
      <w:numFmt w:val="lowerLetter"/>
      <w:lvlText w:val="%2."/>
      <w:lvlJc w:val="left"/>
      <w:pPr>
        <w:tabs>
          <w:tab w:val="num" w:pos="2319"/>
        </w:tabs>
        <w:ind w:left="2319" w:hanging="360"/>
      </w:pPr>
    </w:lvl>
    <w:lvl w:ilvl="2" w:tplc="6E56750C" w:tentative="1">
      <w:start w:val="1"/>
      <w:numFmt w:val="lowerRoman"/>
      <w:lvlText w:val="%3."/>
      <w:lvlJc w:val="right"/>
      <w:pPr>
        <w:tabs>
          <w:tab w:val="num" w:pos="3039"/>
        </w:tabs>
        <w:ind w:left="3039" w:hanging="180"/>
      </w:pPr>
    </w:lvl>
    <w:lvl w:ilvl="3" w:tplc="B00AE72A" w:tentative="1">
      <w:start w:val="1"/>
      <w:numFmt w:val="decimal"/>
      <w:lvlText w:val="%4."/>
      <w:lvlJc w:val="left"/>
      <w:pPr>
        <w:tabs>
          <w:tab w:val="num" w:pos="3759"/>
        </w:tabs>
        <w:ind w:left="3759" w:hanging="360"/>
      </w:pPr>
    </w:lvl>
    <w:lvl w:ilvl="4" w:tplc="DE66B20E" w:tentative="1">
      <w:start w:val="1"/>
      <w:numFmt w:val="lowerLetter"/>
      <w:lvlText w:val="%5."/>
      <w:lvlJc w:val="left"/>
      <w:pPr>
        <w:tabs>
          <w:tab w:val="num" w:pos="4479"/>
        </w:tabs>
        <w:ind w:left="4479" w:hanging="360"/>
      </w:pPr>
    </w:lvl>
    <w:lvl w:ilvl="5" w:tplc="300EE9A2" w:tentative="1">
      <w:start w:val="1"/>
      <w:numFmt w:val="lowerRoman"/>
      <w:lvlText w:val="%6."/>
      <w:lvlJc w:val="right"/>
      <w:pPr>
        <w:tabs>
          <w:tab w:val="num" w:pos="5199"/>
        </w:tabs>
        <w:ind w:left="5199" w:hanging="180"/>
      </w:pPr>
    </w:lvl>
    <w:lvl w:ilvl="6" w:tplc="6E1E0670" w:tentative="1">
      <w:start w:val="1"/>
      <w:numFmt w:val="decimal"/>
      <w:lvlText w:val="%7."/>
      <w:lvlJc w:val="left"/>
      <w:pPr>
        <w:tabs>
          <w:tab w:val="num" w:pos="5919"/>
        </w:tabs>
        <w:ind w:left="5919" w:hanging="360"/>
      </w:pPr>
    </w:lvl>
    <w:lvl w:ilvl="7" w:tplc="591E48A2" w:tentative="1">
      <w:start w:val="1"/>
      <w:numFmt w:val="lowerLetter"/>
      <w:lvlText w:val="%8."/>
      <w:lvlJc w:val="left"/>
      <w:pPr>
        <w:tabs>
          <w:tab w:val="num" w:pos="6639"/>
        </w:tabs>
        <w:ind w:left="6639" w:hanging="360"/>
      </w:pPr>
    </w:lvl>
    <w:lvl w:ilvl="8" w:tplc="E0E65E30" w:tentative="1">
      <w:start w:val="1"/>
      <w:numFmt w:val="lowerRoman"/>
      <w:lvlText w:val="%9."/>
      <w:lvlJc w:val="right"/>
      <w:pPr>
        <w:tabs>
          <w:tab w:val="num" w:pos="7359"/>
        </w:tabs>
        <w:ind w:left="7359" w:hanging="180"/>
      </w:pPr>
    </w:lvl>
  </w:abstractNum>
  <w:abstractNum w:abstractNumId="10" w15:restartNumberingAfterBreak="0">
    <w:nsid w:val="69BC3231"/>
    <w:multiLevelType w:val="hybridMultilevel"/>
    <w:tmpl w:val="CF84808A"/>
    <w:lvl w:ilvl="0" w:tplc="56766880">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756D14DD"/>
    <w:multiLevelType w:val="multilevel"/>
    <w:tmpl w:val="0CAA577E"/>
    <w:lvl w:ilvl="0">
      <w:start w:val="5"/>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F732D47"/>
    <w:multiLevelType w:val="hybridMultilevel"/>
    <w:tmpl w:val="8ED6438E"/>
    <w:lvl w:ilvl="0" w:tplc="EC761A9C">
      <w:start w:val="1"/>
      <w:numFmt w:val="lowerLetter"/>
      <w:lvlText w:val="(%1)"/>
      <w:lvlJc w:val="left"/>
      <w:pPr>
        <w:tabs>
          <w:tab w:val="num" w:pos="1080"/>
        </w:tabs>
        <w:ind w:left="1080" w:hanging="360"/>
      </w:pPr>
      <w:rPr>
        <w:rFonts w:hint="default"/>
        <w:b w:val="0"/>
      </w:rPr>
    </w:lvl>
    <w:lvl w:ilvl="1" w:tplc="3BBACF10" w:tentative="1">
      <w:start w:val="1"/>
      <w:numFmt w:val="lowerLetter"/>
      <w:lvlText w:val="%2."/>
      <w:lvlJc w:val="left"/>
      <w:pPr>
        <w:tabs>
          <w:tab w:val="num" w:pos="1800"/>
        </w:tabs>
        <w:ind w:left="1800" w:hanging="360"/>
      </w:pPr>
    </w:lvl>
    <w:lvl w:ilvl="2" w:tplc="55006732" w:tentative="1">
      <w:start w:val="1"/>
      <w:numFmt w:val="lowerRoman"/>
      <w:lvlText w:val="%3."/>
      <w:lvlJc w:val="right"/>
      <w:pPr>
        <w:tabs>
          <w:tab w:val="num" w:pos="2520"/>
        </w:tabs>
        <w:ind w:left="2520" w:hanging="180"/>
      </w:pPr>
    </w:lvl>
    <w:lvl w:ilvl="3" w:tplc="7014334E" w:tentative="1">
      <w:start w:val="1"/>
      <w:numFmt w:val="decimal"/>
      <w:lvlText w:val="%4."/>
      <w:lvlJc w:val="left"/>
      <w:pPr>
        <w:tabs>
          <w:tab w:val="num" w:pos="3240"/>
        </w:tabs>
        <w:ind w:left="3240" w:hanging="360"/>
      </w:pPr>
    </w:lvl>
    <w:lvl w:ilvl="4" w:tplc="8D324CB4" w:tentative="1">
      <w:start w:val="1"/>
      <w:numFmt w:val="lowerLetter"/>
      <w:lvlText w:val="%5."/>
      <w:lvlJc w:val="left"/>
      <w:pPr>
        <w:tabs>
          <w:tab w:val="num" w:pos="3960"/>
        </w:tabs>
        <w:ind w:left="3960" w:hanging="360"/>
      </w:pPr>
    </w:lvl>
    <w:lvl w:ilvl="5" w:tplc="2ED61096" w:tentative="1">
      <w:start w:val="1"/>
      <w:numFmt w:val="lowerRoman"/>
      <w:lvlText w:val="%6."/>
      <w:lvlJc w:val="right"/>
      <w:pPr>
        <w:tabs>
          <w:tab w:val="num" w:pos="4680"/>
        </w:tabs>
        <w:ind w:left="4680" w:hanging="180"/>
      </w:pPr>
    </w:lvl>
    <w:lvl w:ilvl="6" w:tplc="8EC4787E" w:tentative="1">
      <w:start w:val="1"/>
      <w:numFmt w:val="decimal"/>
      <w:lvlText w:val="%7."/>
      <w:lvlJc w:val="left"/>
      <w:pPr>
        <w:tabs>
          <w:tab w:val="num" w:pos="5400"/>
        </w:tabs>
        <w:ind w:left="5400" w:hanging="360"/>
      </w:pPr>
    </w:lvl>
    <w:lvl w:ilvl="7" w:tplc="1CE262DE" w:tentative="1">
      <w:start w:val="1"/>
      <w:numFmt w:val="lowerLetter"/>
      <w:lvlText w:val="%8."/>
      <w:lvlJc w:val="left"/>
      <w:pPr>
        <w:tabs>
          <w:tab w:val="num" w:pos="6120"/>
        </w:tabs>
        <w:ind w:left="6120" w:hanging="360"/>
      </w:pPr>
    </w:lvl>
    <w:lvl w:ilvl="8" w:tplc="76342FE0" w:tentative="1">
      <w:start w:val="1"/>
      <w:numFmt w:val="lowerRoman"/>
      <w:lvlText w:val="%9."/>
      <w:lvlJc w:val="right"/>
      <w:pPr>
        <w:tabs>
          <w:tab w:val="num" w:pos="6840"/>
        </w:tabs>
        <w:ind w:left="6840" w:hanging="180"/>
      </w:pPr>
    </w:lvl>
  </w:abstractNum>
  <w:num w:numId="1">
    <w:abstractNumId w:val="2"/>
  </w:num>
  <w:num w:numId="2">
    <w:abstractNumId w:val="11"/>
  </w:num>
  <w:num w:numId="3">
    <w:abstractNumId w:val="12"/>
  </w:num>
  <w:num w:numId="4">
    <w:abstractNumId w:val="6"/>
  </w:num>
  <w:num w:numId="5">
    <w:abstractNumId w:val="8"/>
  </w:num>
  <w:num w:numId="6">
    <w:abstractNumId w:val="4"/>
  </w:num>
  <w:num w:numId="7">
    <w:abstractNumId w:val="9"/>
  </w:num>
  <w:num w:numId="8">
    <w:abstractNumId w:val="10"/>
  </w:num>
  <w:num w:numId="9">
    <w:abstractNumId w:val="3"/>
  </w:num>
  <w:num w:numId="10">
    <w:abstractNumId w:val="8"/>
    <w:lvlOverride w:ilvl="0">
      <w:startOverride w:val="1"/>
    </w:lvlOverride>
  </w:num>
  <w:num w:numId="11">
    <w:abstractNumId w:val="8"/>
  </w:num>
  <w:num w:numId="12">
    <w:abstractNumId w:val="7"/>
  </w:num>
  <w:num w:numId="13">
    <w:abstractNumId w:val="2"/>
  </w:num>
  <w:num w:numId="14">
    <w:abstractNumId w:val="2"/>
  </w:num>
  <w:num w:numId="15">
    <w:abstractNumId w:val="8"/>
    <w:lvlOverride w:ilvl="0">
      <w:startOverride w:val="2"/>
    </w:lvlOverride>
  </w:num>
  <w:num w:numId="16">
    <w:abstractNumId w:val="2"/>
  </w:num>
  <w:num w:numId="17">
    <w:abstractNumId w:val="1"/>
  </w:num>
  <w:num w:numId="18">
    <w:abstractNumId w:val="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D76"/>
    <w:rsid w:val="00000033"/>
    <w:rsid w:val="00013FC3"/>
    <w:rsid w:val="000200BC"/>
    <w:rsid w:val="00020E4B"/>
    <w:rsid w:val="00022EF1"/>
    <w:rsid w:val="0003391E"/>
    <w:rsid w:val="00046F22"/>
    <w:rsid w:val="0007579E"/>
    <w:rsid w:val="00090431"/>
    <w:rsid w:val="000962CF"/>
    <w:rsid w:val="000A5F7D"/>
    <w:rsid w:val="000A6160"/>
    <w:rsid w:val="000C7758"/>
    <w:rsid w:val="000D31C3"/>
    <w:rsid w:val="000D4D98"/>
    <w:rsid w:val="000D6D84"/>
    <w:rsid w:val="000E0CD8"/>
    <w:rsid w:val="000E3090"/>
    <w:rsid w:val="000E5852"/>
    <w:rsid w:val="000E6DBE"/>
    <w:rsid w:val="001141BC"/>
    <w:rsid w:val="00124607"/>
    <w:rsid w:val="00124FD9"/>
    <w:rsid w:val="00130EE0"/>
    <w:rsid w:val="00134FE1"/>
    <w:rsid w:val="00135816"/>
    <w:rsid w:val="00136063"/>
    <w:rsid w:val="001475C0"/>
    <w:rsid w:val="00165151"/>
    <w:rsid w:val="0019571F"/>
    <w:rsid w:val="001979D0"/>
    <w:rsid w:val="001B594B"/>
    <w:rsid w:val="001B6701"/>
    <w:rsid w:val="001E111D"/>
    <w:rsid w:val="002016FF"/>
    <w:rsid w:val="0022250B"/>
    <w:rsid w:val="00236166"/>
    <w:rsid w:val="00240ECD"/>
    <w:rsid w:val="00315621"/>
    <w:rsid w:val="00325E3F"/>
    <w:rsid w:val="00350EFF"/>
    <w:rsid w:val="0038247F"/>
    <w:rsid w:val="00397053"/>
    <w:rsid w:val="003A6F10"/>
    <w:rsid w:val="003D1B18"/>
    <w:rsid w:val="003F2313"/>
    <w:rsid w:val="003F4D76"/>
    <w:rsid w:val="0042693D"/>
    <w:rsid w:val="00452783"/>
    <w:rsid w:val="00496B1A"/>
    <w:rsid w:val="004A4BB9"/>
    <w:rsid w:val="004B02B4"/>
    <w:rsid w:val="004B63E3"/>
    <w:rsid w:val="004C0600"/>
    <w:rsid w:val="004D468A"/>
    <w:rsid w:val="004D6B06"/>
    <w:rsid w:val="004D73A3"/>
    <w:rsid w:val="00503710"/>
    <w:rsid w:val="00541C7F"/>
    <w:rsid w:val="00547422"/>
    <w:rsid w:val="00553D9E"/>
    <w:rsid w:val="00582D76"/>
    <w:rsid w:val="005871A5"/>
    <w:rsid w:val="00592D2F"/>
    <w:rsid w:val="0059453B"/>
    <w:rsid w:val="005B289F"/>
    <w:rsid w:val="005C6E36"/>
    <w:rsid w:val="005E421F"/>
    <w:rsid w:val="005F0990"/>
    <w:rsid w:val="005F6DD6"/>
    <w:rsid w:val="005F76FA"/>
    <w:rsid w:val="005F795F"/>
    <w:rsid w:val="00603CE9"/>
    <w:rsid w:val="006239AB"/>
    <w:rsid w:val="00626A5B"/>
    <w:rsid w:val="00652BA4"/>
    <w:rsid w:val="00682B5C"/>
    <w:rsid w:val="006863F1"/>
    <w:rsid w:val="00687F6F"/>
    <w:rsid w:val="00692AC5"/>
    <w:rsid w:val="006B493B"/>
    <w:rsid w:val="006C0865"/>
    <w:rsid w:val="006C5B1F"/>
    <w:rsid w:val="006D0195"/>
    <w:rsid w:val="006D068C"/>
    <w:rsid w:val="006D07BF"/>
    <w:rsid w:val="006D0B25"/>
    <w:rsid w:val="006D5F13"/>
    <w:rsid w:val="006F63EC"/>
    <w:rsid w:val="006F76DF"/>
    <w:rsid w:val="007072CD"/>
    <w:rsid w:val="007108A3"/>
    <w:rsid w:val="00711FDA"/>
    <w:rsid w:val="0073360D"/>
    <w:rsid w:val="00734038"/>
    <w:rsid w:val="0075177D"/>
    <w:rsid w:val="00751BFA"/>
    <w:rsid w:val="007528C2"/>
    <w:rsid w:val="007701BC"/>
    <w:rsid w:val="00795CA5"/>
    <w:rsid w:val="007B4C4D"/>
    <w:rsid w:val="007C6F63"/>
    <w:rsid w:val="007D287F"/>
    <w:rsid w:val="008003C6"/>
    <w:rsid w:val="00831BBB"/>
    <w:rsid w:val="008665F9"/>
    <w:rsid w:val="00870C87"/>
    <w:rsid w:val="00871160"/>
    <w:rsid w:val="008D7AA2"/>
    <w:rsid w:val="00913BDB"/>
    <w:rsid w:val="00923633"/>
    <w:rsid w:val="009328CB"/>
    <w:rsid w:val="00933172"/>
    <w:rsid w:val="009527F5"/>
    <w:rsid w:val="00960024"/>
    <w:rsid w:val="00965DD3"/>
    <w:rsid w:val="00971832"/>
    <w:rsid w:val="00974A2F"/>
    <w:rsid w:val="00980DC5"/>
    <w:rsid w:val="009C53FB"/>
    <w:rsid w:val="009D6725"/>
    <w:rsid w:val="00A01F13"/>
    <w:rsid w:val="00A03DC3"/>
    <w:rsid w:val="00A0478F"/>
    <w:rsid w:val="00A1576A"/>
    <w:rsid w:val="00A164C3"/>
    <w:rsid w:val="00A477AD"/>
    <w:rsid w:val="00A71C38"/>
    <w:rsid w:val="00A71D2F"/>
    <w:rsid w:val="00A81027"/>
    <w:rsid w:val="00A87B68"/>
    <w:rsid w:val="00A909F4"/>
    <w:rsid w:val="00AA1761"/>
    <w:rsid w:val="00AA2ABE"/>
    <w:rsid w:val="00AA43A9"/>
    <w:rsid w:val="00AA5458"/>
    <w:rsid w:val="00AB5035"/>
    <w:rsid w:val="00AC2AAB"/>
    <w:rsid w:val="00AD7EA6"/>
    <w:rsid w:val="00AE2A50"/>
    <w:rsid w:val="00AE4C91"/>
    <w:rsid w:val="00AE5AB0"/>
    <w:rsid w:val="00B07B58"/>
    <w:rsid w:val="00B12DF4"/>
    <w:rsid w:val="00B14007"/>
    <w:rsid w:val="00B35113"/>
    <w:rsid w:val="00B378A6"/>
    <w:rsid w:val="00B56149"/>
    <w:rsid w:val="00B630FA"/>
    <w:rsid w:val="00B73A99"/>
    <w:rsid w:val="00B908EC"/>
    <w:rsid w:val="00BB0C9B"/>
    <w:rsid w:val="00BD621C"/>
    <w:rsid w:val="00BE01F1"/>
    <w:rsid w:val="00C10529"/>
    <w:rsid w:val="00C11E92"/>
    <w:rsid w:val="00C14F2C"/>
    <w:rsid w:val="00C26895"/>
    <w:rsid w:val="00C6337E"/>
    <w:rsid w:val="00C63531"/>
    <w:rsid w:val="00C71CAE"/>
    <w:rsid w:val="00C82F34"/>
    <w:rsid w:val="00CA7C1F"/>
    <w:rsid w:val="00CB4019"/>
    <w:rsid w:val="00CB4EA3"/>
    <w:rsid w:val="00CD0DE7"/>
    <w:rsid w:val="00D14819"/>
    <w:rsid w:val="00D20AB0"/>
    <w:rsid w:val="00D56C25"/>
    <w:rsid w:val="00D73C14"/>
    <w:rsid w:val="00D8127F"/>
    <w:rsid w:val="00D846BE"/>
    <w:rsid w:val="00D86389"/>
    <w:rsid w:val="00D92EFC"/>
    <w:rsid w:val="00DA65E1"/>
    <w:rsid w:val="00DB21FE"/>
    <w:rsid w:val="00DC4173"/>
    <w:rsid w:val="00DF60D7"/>
    <w:rsid w:val="00E01895"/>
    <w:rsid w:val="00E1023A"/>
    <w:rsid w:val="00E217CE"/>
    <w:rsid w:val="00E2704E"/>
    <w:rsid w:val="00E36C98"/>
    <w:rsid w:val="00E5445F"/>
    <w:rsid w:val="00E66418"/>
    <w:rsid w:val="00E84F7B"/>
    <w:rsid w:val="00EA09E1"/>
    <w:rsid w:val="00EB24CC"/>
    <w:rsid w:val="00EB5CDB"/>
    <w:rsid w:val="00ED1D11"/>
    <w:rsid w:val="00EF38A7"/>
    <w:rsid w:val="00F00BED"/>
    <w:rsid w:val="00F73CC2"/>
    <w:rsid w:val="00F956CA"/>
    <w:rsid w:val="00FA38CE"/>
    <w:rsid w:val="00FA7C43"/>
    <w:rsid w:val="00FB23B8"/>
    <w:rsid w:val="00FE6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B92939A"/>
  <w15:chartTrackingRefBased/>
  <w15:docId w15:val="{A2D5917F-4BB2-484D-A847-D0129E786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jc w:val="center"/>
      <w:outlineLvl w:val="0"/>
    </w:pPr>
    <w:rPr>
      <w:rFonts w:eastAsia="MS Mincho"/>
      <w:b/>
      <w:bCs/>
      <w:sz w:val="24"/>
    </w:rPr>
  </w:style>
  <w:style w:type="paragraph" w:styleId="Heading2">
    <w:name w:val="heading 2"/>
    <w:basedOn w:val="Normal"/>
    <w:next w:val="Normal"/>
    <w:qFormat/>
    <w:pPr>
      <w:keepNext/>
      <w:jc w:val="both"/>
      <w:outlineLvl w:val="1"/>
    </w:pPr>
    <w:rPr>
      <w:rFonts w:eastAsia="MS Mincho"/>
      <w:b/>
      <w:bCs/>
      <w:sz w:val="24"/>
      <w:u w:val="single"/>
    </w:rPr>
  </w:style>
  <w:style w:type="paragraph" w:styleId="Heading3">
    <w:name w:val="heading 3"/>
    <w:basedOn w:val="Normal"/>
    <w:next w:val="Normal"/>
    <w:qFormat/>
    <w:pPr>
      <w:keepNext/>
      <w:tabs>
        <w:tab w:val="left" w:pos="-720"/>
      </w:tabs>
      <w:suppressAutoHyphens/>
      <w:spacing w:line="240" w:lineRule="atLeast"/>
      <w:jc w:val="center"/>
      <w:outlineLvl w:val="2"/>
    </w:pPr>
    <w:rPr>
      <w:rFonts w:eastAsia="Arial Unicode MS" w:cs="Arial"/>
      <w:b/>
      <w:bCs/>
      <w:sz w:val="24"/>
    </w:rPr>
  </w:style>
  <w:style w:type="paragraph" w:styleId="Heading4">
    <w:name w:val="heading 4"/>
    <w:basedOn w:val="Normal"/>
    <w:next w:val="Normal"/>
    <w:qFormat/>
    <w:pPr>
      <w:keepNext/>
      <w:jc w:val="center"/>
      <w:outlineLvl w:val="3"/>
    </w:pPr>
    <w:rPr>
      <w:b/>
      <w:bCs/>
      <w:i/>
      <w:iCs/>
    </w:rPr>
  </w:style>
  <w:style w:type="paragraph" w:styleId="Heading5">
    <w:name w:val="heading 5"/>
    <w:basedOn w:val="Normal"/>
    <w:next w:val="Normal"/>
    <w:qFormat/>
    <w:rsid w:val="00BB0C9B"/>
    <w:pPr>
      <w:tabs>
        <w:tab w:val="num" w:pos="3240"/>
      </w:tabs>
      <w:autoSpaceDE/>
      <w:autoSpaceDN/>
      <w:adjustRightInd/>
      <w:spacing w:before="240" w:after="60"/>
      <w:ind w:left="2880"/>
      <w:jc w:val="both"/>
      <w:outlineLvl w:val="4"/>
    </w:pPr>
    <w:rPr>
      <w:b/>
      <w:bCs/>
      <w:i/>
      <w:iCs/>
      <w:snapToGrid w:val="0"/>
      <w:sz w:val="26"/>
      <w:szCs w:val="26"/>
    </w:rPr>
  </w:style>
  <w:style w:type="paragraph" w:styleId="Heading6">
    <w:name w:val="heading 6"/>
    <w:basedOn w:val="Normal"/>
    <w:next w:val="Normal"/>
    <w:qFormat/>
    <w:rsid w:val="00BB0C9B"/>
    <w:pPr>
      <w:tabs>
        <w:tab w:val="num" w:pos="3960"/>
      </w:tabs>
      <w:autoSpaceDE/>
      <w:autoSpaceDN/>
      <w:adjustRightInd/>
      <w:spacing w:before="240" w:after="60"/>
      <w:ind w:left="3600"/>
      <w:jc w:val="both"/>
      <w:outlineLvl w:val="5"/>
    </w:pPr>
    <w:rPr>
      <w:b/>
      <w:bCs/>
      <w:snapToGrid w:val="0"/>
      <w:sz w:val="22"/>
      <w:szCs w:val="22"/>
    </w:rPr>
  </w:style>
  <w:style w:type="paragraph" w:styleId="Heading7">
    <w:name w:val="heading 7"/>
    <w:basedOn w:val="Normal"/>
    <w:next w:val="Normal"/>
    <w:qFormat/>
    <w:rsid w:val="00BB0C9B"/>
    <w:pPr>
      <w:tabs>
        <w:tab w:val="num" w:pos="4680"/>
      </w:tabs>
      <w:autoSpaceDE/>
      <w:autoSpaceDN/>
      <w:adjustRightInd/>
      <w:spacing w:before="240" w:after="60"/>
      <w:ind w:left="4320"/>
      <w:jc w:val="both"/>
      <w:outlineLvl w:val="6"/>
    </w:pPr>
    <w:rPr>
      <w:snapToGrid w:val="0"/>
      <w:sz w:val="24"/>
    </w:rPr>
  </w:style>
  <w:style w:type="paragraph" w:styleId="Heading8">
    <w:name w:val="heading 8"/>
    <w:basedOn w:val="Normal"/>
    <w:next w:val="Normal"/>
    <w:qFormat/>
    <w:rsid w:val="00BB0C9B"/>
    <w:pPr>
      <w:tabs>
        <w:tab w:val="num" w:pos="5400"/>
      </w:tabs>
      <w:autoSpaceDE/>
      <w:autoSpaceDN/>
      <w:adjustRightInd/>
      <w:spacing w:before="240" w:after="60"/>
      <w:ind w:left="5040"/>
      <w:jc w:val="both"/>
      <w:outlineLvl w:val="7"/>
    </w:pPr>
    <w:rPr>
      <w:i/>
      <w:iCs/>
      <w:snapToGrid w:val="0"/>
      <w:sz w:val="24"/>
    </w:rPr>
  </w:style>
  <w:style w:type="paragraph" w:styleId="Heading9">
    <w:name w:val="heading 9"/>
    <w:basedOn w:val="Normal"/>
    <w:next w:val="Normal"/>
    <w:qFormat/>
    <w:rsid w:val="00BB0C9B"/>
    <w:pPr>
      <w:tabs>
        <w:tab w:val="num" w:pos="6120"/>
      </w:tabs>
      <w:autoSpaceDE/>
      <w:autoSpaceDN/>
      <w:adjustRightInd/>
      <w:spacing w:before="240" w:after="60"/>
      <w:ind w:left="5760"/>
      <w:jc w:val="both"/>
      <w:outlineLvl w:val="8"/>
    </w:pPr>
    <w:rPr>
      <w:rFonts w:ascii="Arial" w:hAnsi="Arial" w:cs="Arial"/>
      <w:snapToGrid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63"/>
      </w:tabs>
    </w:pPr>
    <w:rPr>
      <w:rFonts w:eastAsia="MS Mincho"/>
      <w:sz w:val="24"/>
    </w:rPr>
  </w:style>
  <w:style w:type="paragraph" w:styleId="BodyText2">
    <w:name w:val="Body Text 2"/>
    <w:basedOn w:val="Normal"/>
    <w:pPr>
      <w:tabs>
        <w:tab w:val="left" w:pos="-263"/>
      </w:tabs>
      <w:jc w:val="both"/>
    </w:pPr>
    <w:rPr>
      <w:rFonts w:eastAsia="MS Mincho"/>
      <w:sz w:val="24"/>
    </w:r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BodyTextIndent2">
    <w:name w:val="Body Text Indent 2"/>
    <w:basedOn w:val="Normal"/>
    <w:pPr>
      <w:ind w:left="720"/>
      <w:jc w:val="both"/>
    </w:pPr>
    <w:rPr>
      <w:sz w:val="24"/>
    </w:rPr>
  </w:style>
  <w:style w:type="paragraph" w:styleId="BodyTextIndent">
    <w:name w:val="Body Text Indent"/>
    <w:basedOn w:val="Normal"/>
    <w:pPr>
      <w:ind w:left="1440"/>
      <w:jc w:val="both"/>
    </w:pPr>
    <w:rPr>
      <w:sz w:val="24"/>
    </w:rPr>
  </w:style>
  <w:style w:type="paragraph" w:styleId="Title">
    <w:name w:val="Title"/>
    <w:basedOn w:val="Normal"/>
    <w:qFormat/>
    <w:pPr>
      <w:jc w:val="center"/>
    </w:pPr>
    <w:rPr>
      <w:rFonts w:eastAsia="MS Mincho"/>
      <w:b/>
      <w:bCs/>
      <w:sz w:val="24"/>
      <w:u w:val="single"/>
    </w:rPr>
  </w:style>
  <w:style w:type="paragraph" w:styleId="BodyTextIndent3">
    <w:name w:val="Body Text Indent 3"/>
    <w:basedOn w:val="Normal"/>
    <w:pPr>
      <w:tabs>
        <w:tab w:val="left" w:pos="-720"/>
        <w:tab w:val="left" w:pos="540"/>
      </w:tabs>
      <w:ind w:left="990" w:hanging="990"/>
      <w:jc w:val="both"/>
    </w:pPr>
    <w:rPr>
      <w:rFonts w:eastAsia="MS Mincho"/>
      <w:sz w:val="24"/>
    </w:rPr>
  </w:style>
  <w:style w:type="paragraph" w:styleId="BodyText3">
    <w:name w:val="Body Text 3"/>
    <w:basedOn w:val="Normal"/>
    <w:pPr>
      <w:widowControl/>
      <w:tabs>
        <w:tab w:val="left" w:pos="-720"/>
      </w:tabs>
      <w:overflowPunct w:val="0"/>
      <w:jc w:val="both"/>
      <w:textAlignment w:val="baseline"/>
    </w:pPr>
    <w:rPr>
      <w:sz w:val="24"/>
      <w:szCs w:val="20"/>
    </w:rPr>
  </w:style>
  <w:style w:type="paragraph" w:styleId="BalloonText">
    <w:name w:val="Balloon Text"/>
    <w:basedOn w:val="Normal"/>
    <w:semiHidden/>
    <w:rsid w:val="003F4D76"/>
    <w:rPr>
      <w:rFonts w:ascii="Tahoma" w:hAnsi="Tahoma" w:cs="Tahoma"/>
      <w:sz w:val="16"/>
      <w:szCs w:val="16"/>
    </w:rPr>
  </w:style>
  <w:style w:type="paragraph" w:customStyle="1" w:styleId="AQBLvl-1Condition">
    <w:name w:val="AQB Lvl-1 Condition"/>
    <w:link w:val="AQBLvl-1ConditionCharChar1"/>
    <w:rsid w:val="001141BC"/>
    <w:pPr>
      <w:numPr>
        <w:numId w:val="5"/>
      </w:numPr>
      <w:spacing w:beforeLines="100" w:before="240"/>
      <w:jc w:val="both"/>
    </w:pPr>
    <w:rPr>
      <w:sz w:val="24"/>
    </w:rPr>
  </w:style>
  <w:style w:type="paragraph" w:customStyle="1" w:styleId="AQBLvl-2Condition">
    <w:name w:val="AQB Lvl-2 Condition"/>
    <w:rsid w:val="001141BC"/>
    <w:pPr>
      <w:numPr>
        <w:ilvl w:val="1"/>
        <w:numId w:val="5"/>
      </w:numPr>
      <w:spacing w:beforeLines="50" w:before="120"/>
      <w:jc w:val="both"/>
    </w:pPr>
    <w:rPr>
      <w:snapToGrid w:val="0"/>
      <w:sz w:val="24"/>
    </w:rPr>
  </w:style>
  <w:style w:type="table" w:styleId="TableGrid">
    <w:name w:val="Table Grid"/>
    <w:basedOn w:val="TableNormal"/>
    <w:rsid w:val="001141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QBLvl-1ConditionCharChar1">
    <w:name w:val="AQB Lvl-1 Condition Char Char1"/>
    <w:link w:val="AQBLvl-1Condition"/>
    <w:rsid w:val="001141BC"/>
    <w:rPr>
      <w:sz w:val="24"/>
      <w:lang w:val="en-US" w:eastAsia="en-US" w:bidi="ar-SA"/>
    </w:rPr>
  </w:style>
  <w:style w:type="paragraph" w:customStyle="1" w:styleId="AQBLvl-3Condition">
    <w:name w:val="AQB Lvl-3 Condition"/>
    <w:basedOn w:val="AQBLvl-2Condition"/>
    <w:rsid w:val="001141BC"/>
    <w:pPr>
      <w:numPr>
        <w:ilvl w:val="2"/>
      </w:numPr>
    </w:pPr>
  </w:style>
  <w:style w:type="paragraph" w:customStyle="1" w:styleId="AQBLvl-4Condition">
    <w:name w:val="AQB Lvl-4 Condition"/>
    <w:basedOn w:val="AQBLvl-3Condition"/>
    <w:rsid w:val="001141BC"/>
    <w:pPr>
      <w:numPr>
        <w:ilvl w:val="3"/>
      </w:numPr>
      <w:tabs>
        <w:tab w:val="left" w:pos="2340"/>
      </w:tabs>
    </w:pPr>
  </w:style>
  <w:style w:type="paragraph" w:customStyle="1" w:styleId="AQBCLvl-1">
    <w:name w:val="AQBC Lvl-1"/>
    <w:link w:val="AQBCLvl-1CharChar"/>
    <w:qFormat/>
    <w:rsid w:val="00652BA4"/>
    <w:pPr>
      <w:numPr>
        <w:numId w:val="1"/>
      </w:numPr>
      <w:spacing w:beforeLines="100" w:before="240"/>
      <w:jc w:val="both"/>
    </w:pPr>
    <w:rPr>
      <w:sz w:val="24"/>
    </w:rPr>
  </w:style>
  <w:style w:type="paragraph" w:customStyle="1" w:styleId="AQBCLvl-2">
    <w:name w:val="AQBC Lvl-2"/>
    <w:qFormat/>
    <w:rsid w:val="00652BA4"/>
    <w:pPr>
      <w:tabs>
        <w:tab w:val="num" w:pos="1440"/>
      </w:tabs>
      <w:spacing w:beforeLines="50" w:before="120"/>
      <w:ind w:left="1440" w:hanging="360"/>
      <w:jc w:val="both"/>
    </w:pPr>
    <w:rPr>
      <w:snapToGrid w:val="0"/>
      <w:sz w:val="24"/>
    </w:rPr>
  </w:style>
  <w:style w:type="paragraph" w:customStyle="1" w:styleId="AQBHFreeStyle">
    <w:name w:val="AQBH Free Style"/>
    <w:basedOn w:val="Heading1"/>
    <w:rsid w:val="00652BA4"/>
    <w:pPr>
      <w:autoSpaceDE/>
      <w:autoSpaceDN/>
      <w:adjustRightInd/>
      <w:spacing w:before="480" w:after="240"/>
      <w:jc w:val="both"/>
    </w:pPr>
    <w:rPr>
      <w:rFonts w:ascii="Times New Roman Bold" w:eastAsia="Times New Roman" w:hAnsi="Times New Roman Bold"/>
      <w:bCs w:val="0"/>
      <w:smallCaps/>
      <w:snapToGrid w:val="0"/>
      <w:szCs w:val="20"/>
      <w:u w:val="single"/>
    </w:rPr>
  </w:style>
  <w:style w:type="character" w:customStyle="1" w:styleId="AQBCLvl-1CharChar">
    <w:name w:val="AQBC Lvl-1 Char Char"/>
    <w:link w:val="AQBCLvl-1"/>
    <w:rsid w:val="00652BA4"/>
    <w:rPr>
      <w:sz w:val="24"/>
      <w:lang w:val="en-US" w:eastAsia="en-US" w:bidi="ar-SA"/>
    </w:rPr>
  </w:style>
  <w:style w:type="paragraph" w:customStyle="1" w:styleId="AQBCLvl-3">
    <w:name w:val="AQBC Lvl-3"/>
    <w:basedOn w:val="AQBCLvl-2"/>
    <w:qFormat/>
    <w:rsid w:val="00652BA4"/>
    <w:pPr>
      <w:tabs>
        <w:tab w:val="clear" w:pos="1440"/>
        <w:tab w:val="num" w:pos="2160"/>
      </w:tabs>
      <w:ind w:left="2160" w:hanging="720"/>
    </w:pPr>
  </w:style>
  <w:style w:type="paragraph" w:customStyle="1" w:styleId="AQBCLvl-4">
    <w:name w:val="AQBC Lvl-4"/>
    <w:basedOn w:val="AQBCLvl-3"/>
    <w:qFormat/>
    <w:rsid w:val="00652BA4"/>
    <w:pPr>
      <w:tabs>
        <w:tab w:val="clear" w:pos="2160"/>
        <w:tab w:val="left" w:pos="2340"/>
        <w:tab w:val="num" w:pos="2880"/>
      </w:tabs>
      <w:ind w:left="2880" w:hanging="360"/>
    </w:pPr>
  </w:style>
  <w:style w:type="character" w:styleId="Hyperlink">
    <w:name w:val="Hyperlink"/>
    <w:rsid w:val="00046F22"/>
    <w:rPr>
      <w:color w:val="0000FF"/>
      <w:u w:val="single"/>
    </w:rPr>
  </w:style>
  <w:style w:type="character" w:customStyle="1" w:styleId="AQBCLvl-1Char">
    <w:name w:val="AQBC Lvl-1 Char"/>
    <w:rsid w:val="00BB0C9B"/>
    <w:rPr>
      <w:sz w:val="24"/>
      <w:lang w:val="en-US" w:eastAsia="en-US" w:bidi="ar-SA"/>
    </w:rPr>
  </w:style>
  <w:style w:type="paragraph" w:styleId="CommentSubject">
    <w:name w:val="annotation subject"/>
    <w:basedOn w:val="CommentText"/>
    <w:next w:val="CommentText"/>
    <w:link w:val="CommentSubjectChar"/>
    <w:rsid w:val="000A6160"/>
    <w:rPr>
      <w:b/>
      <w:bCs/>
    </w:rPr>
  </w:style>
  <w:style w:type="character" w:customStyle="1" w:styleId="CommentTextChar">
    <w:name w:val="Comment Text Char"/>
    <w:basedOn w:val="DefaultParagraphFont"/>
    <w:link w:val="CommentText"/>
    <w:semiHidden/>
    <w:rsid w:val="000A6160"/>
  </w:style>
  <w:style w:type="character" w:customStyle="1" w:styleId="CommentSubjectChar">
    <w:name w:val="Comment Subject Char"/>
    <w:basedOn w:val="CommentTextChar"/>
    <w:link w:val="CommentSubject"/>
    <w:rsid w:val="000A6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2902</Words>
  <Characters>16008</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Monitoring Protocol - Gas-fired Turbines</vt:lpstr>
    </vt:vector>
  </TitlesOfParts>
  <Company>New Mexico Environment Dept.</Company>
  <LinksUpToDate>false</LinksUpToDate>
  <CharactersWithSpaces>18873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Protocol - Gas-fired Turbines</dc:title>
  <dc:subject/>
  <dc:creator>Ned Jerabek</dc:creator>
  <cp:keywords/>
  <dc:description>5/29/09: Jwk revised</dc:description>
  <cp:lastModifiedBy>Cristina Eads</cp:lastModifiedBy>
  <cp:revision>2</cp:revision>
  <cp:lastPrinted>2010-10-28T22:53:00Z</cp:lastPrinted>
  <dcterms:created xsi:type="dcterms:W3CDTF">2019-05-30T21:38:00Z</dcterms:created>
  <dcterms:modified xsi:type="dcterms:W3CDTF">2019-05-30T21:38:00Z</dcterms:modified>
</cp:coreProperties>
</file>