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747" w:rsidRDefault="00E96747" w:rsidP="009D13BE">
      <w:pPr>
        <w:widowControl/>
        <w:tabs>
          <w:tab w:val="left" w:pos="-1440"/>
        </w:tabs>
        <w:ind w:left="1440" w:hanging="1440"/>
        <w:jc w:val="center"/>
        <w:rPr>
          <w:b/>
          <w:sz w:val="28"/>
          <w:szCs w:val="28"/>
        </w:rPr>
        <w:sectPr w:rsidR="00E96747" w:rsidSect="00E9674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630" w:footer="720" w:gutter="0"/>
          <w:cols w:space="720"/>
          <w:noEndnote/>
        </w:sectPr>
      </w:pPr>
    </w:p>
    <w:p w:rsidR="00D5629F" w:rsidRPr="001B3A69" w:rsidRDefault="00D5629F" w:rsidP="00D5629F">
      <w:pPr>
        <w:jc w:val="center"/>
        <w:rPr>
          <w:rFonts w:cstheme="minorHAnsi"/>
          <w:b/>
          <w:sz w:val="36"/>
          <w:szCs w:val="36"/>
        </w:rPr>
      </w:pPr>
      <w:r w:rsidRPr="001B3A69">
        <w:rPr>
          <w:rFonts w:cstheme="minorHAnsi"/>
          <w:b/>
          <w:sz w:val="36"/>
          <w:szCs w:val="36"/>
        </w:rPr>
        <w:t xml:space="preserve">FACT SHEET </w:t>
      </w:r>
    </w:p>
    <w:p w:rsidR="00D5629F" w:rsidRDefault="00D5629F" w:rsidP="001B3A69">
      <w:pPr>
        <w:jc w:val="center"/>
        <w:rPr>
          <w:rFonts w:cstheme="minorHAnsi"/>
          <w:b/>
          <w:sz w:val="36"/>
          <w:szCs w:val="36"/>
        </w:rPr>
      </w:pPr>
    </w:p>
    <w:p w:rsidR="00D5629F" w:rsidRDefault="00BF40A5" w:rsidP="001B3A69">
      <w:pPr>
        <w:jc w:val="center"/>
        <w:rPr>
          <w:rFonts w:cstheme="minorHAnsi"/>
          <w:b/>
          <w:sz w:val="36"/>
          <w:szCs w:val="36"/>
        </w:rPr>
      </w:pPr>
      <w:r>
        <w:rPr>
          <w:rFonts w:cstheme="minorHAnsi"/>
          <w:b/>
          <w:sz w:val="36"/>
          <w:szCs w:val="36"/>
        </w:rPr>
        <w:t>GCP-Temporary Control</w:t>
      </w:r>
    </w:p>
    <w:p w:rsidR="001B3A69" w:rsidRDefault="001B3A69" w:rsidP="001B3A69">
      <w:pPr>
        <w:jc w:val="center"/>
        <w:rPr>
          <w:rFonts w:cstheme="minorHAnsi"/>
        </w:rPr>
      </w:pPr>
    </w:p>
    <w:p w:rsidR="001B3A69" w:rsidRDefault="001B3A69" w:rsidP="001B3A69">
      <w:pPr>
        <w:jc w:val="center"/>
        <w:rPr>
          <w:rFonts w:cstheme="minorHAnsi"/>
        </w:rPr>
      </w:pPr>
      <w:r>
        <w:rPr>
          <w:rFonts w:cstheme="minorHAnsi"/>
        </w:rPr>
        <w:t xml:space="preserve">NMED </w:t>
      </w:r>
      <w:r w:rsidR="00BF40A5">
        <w:rPr>
          <w:rFonts w:cstheme="minorHAnsi"/>
        </w:rPr>
        <w:t>Issues</w:t>
      </w:r>
      <w:r>
        <w:rPr>
          <w:rFonts w:cstheme="minorHAnsi"/>
        </w:rPr>
        <w:t xml:space="preserve"> Two New General Construction Permits </w:t>
      </w:r>
    </w:p>
    <w:p w:rsidR="001B3A69" w:rsidRDefault="001B3A69" w:rsidP="001B3A69">
      <w:pPr>
        <w:jc w:val="center"/>
        <w:rPr>
          <w:rFonts w:cstheme="minorHAnsi"/>
        </w:rPr>
      </w:pPr>
      <w:r>
        <w:rPr>
          <w:rFonts w:cstheme="minorHAnsi"/>
        </w:rPr>
        <w:t>for Temporary Control Devices at Oil and Gas Production Sites</w:t>
      </w:r>
    </w:p>
    <w:p w:rsidR="001B3A69" w:rsidRDefault="001B3A69" w:rsidP="001B3A69">
      <w:pPr>
        <w:jc w:val="center"/>
        <w:rPr>
          <w:rFonts w:cstheme="minorHAnsi"/>
        </w:rPr>
      </w:pPr>
    </w:p>
    <w:p w:rsidR="001B3A69" w:rsidRDefault="001B3A69" w:rsidP="001B3A69">
      <w:pPr>
        <w:pStyle w:val="ListParagraph"/>
        <w:widowControl/>
        <w:numPr>
          <w:ilvl w:val="0"/>
          <w:numId w:val="21"/>
        </w:numPr>
        <w:spacing w:after="160" w:line="259" w:lineRule="auto"/>
        <w:ind w:left="360"/>
        <w:jc w:val="left"/>
        <w:rPr>
          <w:rFonts w:cstheme="minorHAnsi"/>
        </w:rPr>
      </w:pPr>
      <w:r>
        <w:rPr>
          <w:rFonts w:cstheme="minorHAnsi"/>
        </w:rPr>
        <w:t xml:space="preserve">The NMED </w:t>
      </w:r>
      <w:r w:rsidR="00BF40A5">
        <w:rPr>
          <w:rFonts w:cstheme="minorHAnsi"/>
        </w:rPr>
        <w:t>has issued</w:t>
      </w:r>
      <w:r>
        <w:rPr>
          <w:rFonts w:cstheme="minorHAnsi"/>
        </w:rPr>
        <w:t xml:space="preserve"> two new General Construction Permits for temporary control devices (less than 12 months) to be authorized at oil and gas production sites.  The</w:t>
      </w:r>
      <w:r w:rsidR="00BF40A5">
        <w:rPr>
          <w:rFonts w:cstheme="minorHAnsi"/>
        </w:rPr>
        <w:t>se</w:t>
      </w:r>
      <w:r>
        <w:rPr>
          <w:rFonts w:cstheme="minorHAnsi"/>
        </w:rPr>
        <w:t xml:space="preserve"> permits </w:t>
      </w:r>
      <w:r w:rsidR="00BF40A5">
        <w:rPr>
          <w:rFonts w:cstheme="minorHAnsi"/>
        </w:rPr>
        <w:t>have been</w:t>
      </w:r>
      <w:r>
        <w:rPr>
          <w:rFonts w:cstheme="minorHAnsi"/>
        </w:rPr>
        <w:t xml:space="preserve"> issued in accordance with 20.2.72 NMAC.  Th</w:t>
      </w:r>
      <w:r w:rsidR="00BF40A5">
        <w:rPr>
          <w:rFonts w:cstheme="minorHAnsi"/>
        </w:rPr>
        <w:t xml:space="preserve">ey are </w:t>
      </w:r>
      <w:r>
        <w:rPr>
          <w:rFonts w:cstheme="minorHAnsi"/>
        </w:rPr>
        <w:t>voluntary permit</w:t>
      </w:r>
      <w:r w:rsidR="00BF40A5">
        <w:rPr>
          <w:rFonts w:cstheme="minorHAnsi"/>
        </w:rPr>
        <w:t>s</w:t>
      </w:r>
      <w:r>
        <w:rPr>
          <w:rFonts w:cstheme="minorHAnsi"/>
        </w:rPr>
        <w:t xml:space="preserve"> for operators of production sites that are temporary controlling (destroying) </w:t>
      </w:r>
      <w:r w:rsidR="004D65D4">
        <w:rPr>
          <w:rFonts w:cstheme="minorHAnsi"/>
        </w:rPr>
        <w:t>VOC</w:t>
      </w:r>
      <w:r>
        <w:rPr>
          <w:rFonts w:cstheme="minorHAnsi"/>
        </w:rPr>
        <w:t xml:space="preserve">, and where the PER or the PTE of the facility exceeds applicability thresholds </w:t>
      </w:r>
      <w:r w:rsidR="00BF40A5">
        <w:rPr>
          <w:rFonts w:cstheme="minorHAnsi"/>
        </w:rPr>
        <w:t xml:space="preserve">either </w:t>
      </w:r>
      <w:r>
        <w:rPr>
          <w:rFonts w:cstheme="minorHAnsi"/>
        </w:rPr>
        <w:t>under Part 70 or Part 72.</w:t>
      </w:r>
    </w:p>
    <w:p w:rsidR="001B3A69" w:rsidRPr="001B3A69" w:rsidRDefault="001B3A69" w:rsidP="001B3A69">
      <w:pPr>
        <w:pStyle w:val="ListParagraph"/>
        <w:widowControl/>
        <w:numPr>
          <w:ilvl w:val="0"/>
          <w:numId w:val="21"/>
        </w:numPr>
        <w:spacing w:after="160" w:line="259" w:lineRule="auto"/>
        <w:ind w:left="360"/>
        <w:jc w:val="left"/>
        <w:rPr>
          <w:rFonts w:cstheme="minorHAnsi"/>
        </w:rPr>
      </w:pPr>
      <w:r>
        <w:rPr>
          <w:rFonts w:cstheme="minorHAnsi"/>
        </w:rPr>
        <w:t xml:space="preserve">The new permits </w:t>
      </w:r>
      <w:r w:rsidR="00BF40A5">
        <w:rPr>
          <w:rFonts w:cstheme="minorHAnsi"/>
        </w:rPr>
        <w:t>have been</w:t>
      </w:r>
      <w:r>
        <w:rPr>
          <w:rFonts w:cstheme="minorHAnsi"/>
        </w:rPr>
        <w:t xml:space="preserve"> developed to authorize the temporary control of VOC.</w:t>
      </w:r>
      <w:r w:rsidRPr="001B3A69">
        <w:rPr>
          <w:rFonts w:cstheme="minorHAnsi"/>
        </w:rPr>
        <w:t xml:space="preserve"> </w:t>
      </w:r>
      <w:r>
        <w:rPr>
          <w:rFonts w:cstheme="minorHAnsi"/>
        </w:rPr>
        <w:t xml:space="preserve">Both permits authorize important control devices </w:t>
      </w:r>
      <w:r w:rsidR="00BF40A5">
        <w:rPr>
          <w:rFonts w:cstheme="minorHAnsi"/>
        </w:rPr>
        <w:t>to</w:t>
      </w:r>
      <w:r>
        <w:rPr>
          <w:rFonts w:cstheme="minorHAnsi"/>
        </w:rPr>
        <w:t xml:space="preserve"> reduce emissions.  The</w:t>
      </w:r>
      <w:r w:rsidRPr="00B83A38">
        <w:rPr>
          <w:rFonts w:cstheme="minorHAnsi"/>
        </w:rPr>
        <w:t xml:space="preserve"> permit conditions improve the Department’s ability to determine compliance with the allowable emission limits established in the Registration Form. </w:t>
      </w:r>
    </w:p>
    <w:p w:rsidR="001B3A69" w:rsidRDefault="001B3A69" w:rsidP="001B3A69">
      <w:pPr>
        <w:pStyle w:val="ListParagraph"/>
        <w:widowControl/>
        <w:numPr>
          <w:ilvl w:val="0"/>
          <w:numId w:val="21"/>
        </w:numPr>
        <w:spacing w:after="160" w:line="259" w:lineRule="auto"/>
        <w:ind w:left="360"/>
        <w:jc w:val="left"/>
        <w:rPr>
          <w:rFonts w:cstheme="minorHAnsi"/>
        </w:rPr>
      </w:pPr>
      <w:r>
        <w:rPr>
          <w:rFonts w:cstheme="minorHAnsi"/>
        </w:rPr>
        <w:t>Combusting (destroying) this pollutant stream will greatly reduce VOC and greenhouse gas emissions.</w:t>
      </w:r>
    </w:p>
    <w:p w:rsidR="001B3A69" w:rsidRDefault="001B3A69" w:rsidP="001B3A69">
      <w:pPr>
        <w:pStyle w:val="ListParagraph"/>
        <w:widowControl/>
        <w:numPr>
          <w:ilvl w:val="0"/>
          <w:numId w:val="21"/>
        </w:numPr>
        <w:spacing w:after="160" w:line="259" w:lineRule="auto"/>
        <w:ind w:left="360"/>
        <w:jc w:val="left"/>
        <w:rPr>
          <w:rFonts w:cstheme="minorHAnsi"/>
        </w:rPr>
      </w:pPr>
      <w:r>
        <w:rPr>
          <w:rFonts w:cstheme="minorHAnsi"/>
        </w:rPr>
        <w:t xml:space="preserve">AQB </w:t>
      </w:r>
      <w:r w:rsidR="00BF40A5">
        <w:rPr>
          <w:rFonts w:cstheme="minorHAnsi"/>
        </w:rPr>
        <w:t>has issued</w:t>
      </w:r>
      <w:r>
        <w:rPr>
          <w:rFonts w:cstheme="minorHAnsi"/>
        </w:rPr>
        <w:t xml:space="preserve"> two sizes of the new permits.  One permit </w:t>
      </w:r>
      <w:r w:rsidR="00BF40A5">
        <w:rPr>
          <w:rFonts w:cstheme="minorHAnsi"/>
        </w:rPr>
        <w:t>has been</w:t>
      </w:r>
      <w:r>
        <w:rPr>
          <w:rFonts w:cstheme="minorHAnsi"/>
        </w:rPr>
        <w:t xml:space="preserve"> developed for minor sources</w:t>
      </w:r>
      <w:r w:rsidR="00BF40A5">
        <w:rPr>
          <w:rFonts w:cstheme="minorHAnsi"/>
        </w:rPr>
        <w:t xml:space="preserve"> (GCP-TC-Minor)</w:t>
      </w:r>
      <w:r>
        <w:rPr>
          <w:rFonts w:cstheme="minorHAnsi"/>
        </w:rPr>
        <w:t xml:space="preserve">, and one permit </w:t>
      </w:r>
      <w:r w:rsidR="00BF40A5">
        <w:rPr>
          <w:rFonts w:cstheme="minorHAnsi"/>
        </w:rPr>
        <w:t>has been</w:t>
      </w:r>
      <w:r>
        <w:rPr>
          <w:rFonts w:cstheme="minorHAnsi"/>
        </w:rPr>
        <w:t xml:space="preserve"> developed for TV major sources</w:t>
      </w:r>
      <w:r w:rsidR="00BF40A5">
        <w:rPr>
          <w:rFonts w:cstheme="minorHAnsi"/>
        </w:rPr>
        <w:t xml:space="preserve"> </w:t>
      </w:r>
      <w:r w:rsidR="00BF40A5">
        <w:rPr>
          <w:rFonts w:cstheme="minorHAnsi"/>
        </w:rPr>
        <w:t>(GCP-TC-M</w:t>
      </w:r>
      <w:r w:rsidR="00BF40A5">
        <w:rPr>
          <w:rFonts w:cstheme="minorHAnsi"/>
        </w:rPr>
        <w:t>aj</w:t>
      </w:r>
      <w:r w:rsidR="00BF40A5">
        <w:rPr>
          <w:rFonts w:cstheme="minorHAnsi"/>
        </w:rPr>
        <w:t>or</w:t>
      </w:r>
      <w:r w:rsidR="00BF40A5">
        <w:rPr>
          <w:rFonts w:cstheme="minorHAnsi"/>
        </w:rPr>
        <w:t>)</w:t>
      </w:r>
      <w:r>
        <w:rPr>
          <w:rFonts w:cstheme="minorHAnsi"/>
        </w:rPr>
        <w:t>.</w:t>
      </w:r>
    </w:p>
    <w:p w:rsidR="001B3A69" w:rsidRDefault="001B3A69" w:rsidP="001B3A69">
      <w:pPr>
        <w:pStyle w:val="ListParagraph"/>
        <w:widowControl/>
        <w:numPr>
          <w:ilvl w:val="0"/>
          <w:numId w:val="21"/>
        </w:numPr>
        <w:spacing w:after="160" w:line="259" w:lineRule="auto"/>
        <w:ind w:left="360"/>
        <w:jc w:val="left"/>
        <w:rPr>
          <w:rFonts w:cstheme="minorHAnsi"/>
        </w:rPr>
      </w:pPr>
      <w:r>
        <w:rPr>
          <w:rFonts w:cstheme="minorHAnsi"/>
        </w:rPr>
        <w:t>Developing these two separate GCP permits (</w:t>
      </w:r>
      <w:r w:rsidRPr="00B83A38">
        <w:rPr>
          <w:rFonts w:cstheme="minorHAnsi"/>
          <w:u w:val="single"/>
        </w:rPr>
        <w:t xml:space="preserve">GCP-Temporary Control </w:t>
      </w:r>
      <w:r>
        <w:rPr>
          <w:rFonts w:cstheme="minorHAnsi"/>
          <w:u w:val="single"/>
        </w:rPr>
        <w:t>Minor</w:t>
      </w:r>
      <w:r w:rsidRPr="00B83A38">
        <w:rPr>
          <w:rFonts w:cstheme="minorHAnsi"/>
        </w:rPr>
        <w:t xml:space="preserve"> and </w:t>
      </w:r>
      <w:r w:rsidRPr="00B83A38">
        <w:rPr>
          <w:rFonts w:cstheme="minorHAnsi"/>
          <w:u w:val="single"/>
        </w:rPr>
        <w:t xml:space="preserve">GCP-Temporary Control </w:t>
      </w:r>
      <w:r>
        <w:rPr>
          <w:rFonts w:cstheme="minorHAnsi"/>
          <w:u w:val="single"/>
        </w:rPr>
        <w:t>Major)</w:t>
      </w:r>
      <w:r w:rsidRPr="00B83A38">
        <w:rPr>
          <w:rFonts w:cstheme="minorHAnsi"/>
        </w:rPr>
        <w:t xml:space="preserve"> achieve several important </w:t>
      </w:r>
      <w:r>
        <w:rPr>
          <w:rFonts w:cstheme="minorHAnsi"/>
        </w:rPr>
        <w:t>benefits</w:t>
      </w:r>
      <w:r w:rsidRPr="00B83A38">
        <w:rPr>
          <w:rFonts w:cstheme="minorHAnsi"/>
        </w:rPr>
        <w:t xml:space="preserve">. </w:t>
      </w:r>
    </w:p>
    <w:p w:rsidR="001B3A69" w:rsidRDefault="001B3A69" w:rsidP="001B3A69">
      <w:pPr>
        <w:pStyle w:val="ListParagraph"/>
        <w:widowControl/>
        <w:numPr>
          <w:ilvl w:val="1"/>
          <w:numId w:val="21"/>
        </w:numPr>
        <w:spacing w:after="160" w:line="259" w:lineRule="auto"/>
        <w:ind w:left="720"/>
        <w:jc w:val="left"/>
        <w:rPr>
          <w:rFonts w:cstheme="minorHAnsi"/>
        </w:rPr>
      </w:pPr>
      <w:r>
        <w:rPr>
          <w:rFonts w:cstheme="minorHAnsi"/>
        </w:rPr>
        <w:t>Facilities that would normally be TV major, can elect to be synthetic minor by simply applying for the GCP-TC-Minor permit.</w:t>
      </w:r>
    </w:p>
    <w:p w:rsidR="001B3A69" w:rsidRDefault="001B3A69" w:rsidP="001B3A69">
      <w:pPr>
        <w:pStyle w:val="ListParagraph"/>
        <w:widowControl/>
        <w:numPr>
          <w:ilvl w:val="1"/>
          <w:numId w:val="21"/>
        </w:numPr>
        <w:spacing w:after="160" w:line="259" w:lineRule="auto"/>
        <w:ind w:left="720"/>
        <w:jc w:val="left"/>
        <w:rPr>
          <w:rFonts w:cstheme="minorHAnsi"/>
        </w:rPr>
      </w:pPr>
      <w:r>
        <w:rPr>
          <w:rFonts w:cstheme="minorHAnsi"/>
        </w:rPr>
        <w:t>If a single permit covered both TV minor and TV major sources, every facility would be required to constantly depend upon monitoring and documentation of calculations to determine which conditions apply. Separating the GCPs eliminates this constant guess work.</w:t>
      </w:r>
    </w:p>
    <w:p w:rsidR="001B3A69" w:rsidRDefault="001B3A69" w:rsidP="001B3A69">
      <w:pPr>
        <w:pStyle w:val="ListParagraph"/>
        <w:widowControl/>
        <w:numPr>
          <w:ilvl w:val="1"/>
          <w:numId w:val="21"/>
        </w:numPr>
        <w:spacing w:after="160" w:line="259" w:lineRule="auto"/>
        <w:ind w:left="720"/>
        <w:jc w:val="left"/>
        <w:rPr>
          <w:rFonts w:cstheme="minorHAnsi"/>
        </w:rPr>
      </w:pPr>
      <w:r w:rsidRPr="00B83A38">
        <w:rPr>
          <w:rFonts w:cstheme="minorHAnsi"/>
        </w:rPr>
        <w:t xml:space="preserve">The </w:t>
      </w:r>
      <w:r>
        <w:rPr>
          <w:rFonts w:cstheme="minorHAnsi"/>
        </w:rPr>
        <w:t xml:space="preserve">two </w:t>
      </w:r>
      <w:r w:rsidRPr="00B83A38">
        <w:rPr>
          <w:rFonts w:cstheme="minorHAnsi"/>
        </w:rPr>
        <w:t xml:space="preserve">permits establish </w:t>
      </w:r>
      <w:r>
        <w:rPr>
          <w:rFonts w:cstheme="minorHAnsi"/>
        </w:rPr>
        <w:t xml:space="preserve">consistent </w:t>
      </w:r>
      <w:r w:rsidRPr="00B83A38">
        <w:rPr>
          <w:rFonts w:cstheme="minorHAnsi"/>
        </w:rPr>
        <w:t xml:space="preserve">monitoring, recordkeeping, and reporting requirements for </w:t>
      </w:r>
      <w:r>
        <w:rPr>
          <w:rFonts w:cstheme="minorHAnsi"/>
        </w:rPr>
        <w:t>the control device that meet the requirements of their respective regulations (Part 72 &amp; 70).</w:t>
      </w:r>
    </w:p>
    <w:p w:rsidR="001B3A69" w:rsidRDefault="001B3A69" w:rsidP="001B3A69">
      <w:pPr>
        <w:pStyle w:val="ListParagraph"/>
        <w:widowControl/>
        <w:numPr>
          <w:ilvl w:val="1"/>
          <w:numId w:val="21"/>
        </w:numPr>
        <w:spacing w:after="160" w:line="259" w:lineRule="auto"/>
        <w:ind w:left="720"/>
        <w:jc w:val="left"/>
        <w:rPr>
          <w:rFonts w:cstheme="minorHAnsi"/>
        </w:rPr>
      </w:pPr>
      <w:r>
        <w:rPr>
          <w:rFonts w:cstheme="minorHAnsi"/>
        </w:rPr>
        <w:t>Having two separate permits provides Fee Regulation clarity (Part 75 or Part 71).</w:t>
      </w:r>
    </w:p>
    <w:p w:rsidR="001B3A69" w:rsidRPr="00B83A38" w:rsidRDefault="001B3A69" w:rsidP="001B3A69">
      <w:pPr>
        <w:pStyle w:val="ListParagraph"/>
        <w:widowControl/>
        <w:numPr>
          <w:ilvl w:val="0"/>
          <w:numId w:val="21"/>
        </w:numPr>
        <w:spacing w:after="160" w:line="259" w:lineRule="auto"/>
        <w:ind w:left="360"/>
        <w:jc w:val="left"/>
        <w:rPr>
          <w:rFonts w:cstheme="minorHAnsi"/>
        </w:rPr>
      </w:pPr>
      <w:r w:rsidRPr="00B83A38">
        <w:rPr>
          <w:rFonts w:cstheme="minorHAnsi"/>
        </w:rPr>
        <w:lastRenderedPageBreak/>
        <w:t xml:space="preserve">Facilities potentially subject to Title V or PSD permitting requirements may use </w:t>
      </w:r>
      <w:r w:rsidRPr="00F67339">
        <w:rPr>
          <w:rFonts w:cstheme="minorHAnsi"/>
          <w:u w:val="single"/>
        </w:rPr>
        <w:t>GCP – Temporary Control Minor</w:t>
      </w:r>
      <w:r w:rsidRPr="00B83A38">
        <w:rPr>
          <w:rFonts w:cstheme="minorHAnsi"/>
        </w:rPr>
        <w:t xml:space="preserve"> to establish federally enforceable emission limits to stay </w:t>
      </w:r>
      <w:r>
        <w:rPr>
          <w:rFonts w:cstheme="minorHAnsi"/>
        </w:rPr>
        <w:t>below both</w:t>
      </w:r>
      <w:r w:rsidRPr="00B83A38">
        <w:rPr>
          <w:rFonts w:cstheme="minorHAnsi"/>
        </w:rPr>
        <w:t xml:space="preserve"> </w:t>
      </w:r>
      <w:r>
        <w:rPr>
          <w:rFonts w:cstheme="minorHAnsi"/>
        </w:rPr>
        <w:t>TV and PSD major source permitting requirements.</w:t>
      </w:r>
    </w:p>
    <w:p w:rsidR="001B3A69" w:rsidRDefault="001B3A69" w:rsidP="001B3A69">
      <w:pPr>
        <w:pStyle w:val="ListParagraph"/>
        <w:widowControl/>
        <w:numPr>
          <w:ilvl w:val="0"/>
          <w:numId w:val="21"/>
        </w:numPr>
        <w:spacing w:after="160" w:line="259" w:lineRule="auto"/>
        <w:ind w:left="360"/>
        <w:jc w:val="left"/>
        <w:rPr>
          <w:rFonts w:cstheme="minorHAnsi"/>
        </w:rPr>
      </w:pPr>
      <w:r w:rsidRPr="00B83A38">
        <w:rPr>
          <w:rFonts w:cstheme="minorHAnsi"/>
        </w:rPr>
        <w:t xml:space="preserve">Facilities potentially subject to PSD permitting requirements may use the </w:t>
      </w:r>
      <w:r w:rsidRPr="00F67339">
        <w:rPr>
          <w:rFonts w:cstheme="minorHAnsi"/>
          <w:u w:val="single"/>
        </w:rPr>
        <w:t>GCP – Temporary Control Major</w:t>
      </w:r>
      <w:r w:rsidRPr="00B83A38">
        <w:rPr>
          <w:rFonts w:cstheme="minorHAnsi"/>
        </w:rPr>
        <w:t xml:space="preserve"> to establish federally enforceable emission limits to stay be</w:t>
      </w:r>
      <w:r>
        <w:rPr>
          <w:rFonts w:cstheme="minorHAnsi"/>
        </w:rPr>
        <w:t>low PSD permitting requirements.</w:t>
      </w:r>
      <w:r w:rsidRPr="00B83A38">
        <w:rPr>
          <w:rFonts w:cstheme="minorHAnsi"/>
        </w:rPr>
        <w:t xml:space="preserve">  </w:t>
      </w:r>
    </w:p>
    <w:p w:rsidR="00891321" w:rsidRDefault="001B3A69" w:rsidP="00BF40A5">
      <w:pPr>
        <w:pStyle w:val="ListParagraph"/>
        <w:widowControl/>
        <w:numPr>
          <w:ilvl w:val="0"/>
          <w:numId w:val="21"/>
        </w:numPr>
        <w:spacing w:after="160" w:line="259" w:lineRule="auto"/>
        <w:ind w:left="360"/>
        <w:jc w:val="left"/>
        <w:rPr>
          <w:rFonts w:cstheme="minorHAnsi"/>
        </w:rPr>
      </w:pPr>
      <w:r>
        <w:rPr>
          <w:rFonts w:cstheme="minorHAnsi"/>
        </w:rPr>
        <w:t xml:space="preserve">The NMED </w:t>
      </w:r>
      <w:r w:rsidR="00BF40A5">
        <w:rPr>
          <w:rFonts w:cstheme="minorHAnsi"/>
        </w:rPr>
        <w:t>held</w:t>
      </w:r>
      <w:r>
        <w:rPr>
          <w:rFonts w:cstheme="minorHAnsi"/>
        </w:rPr>
        <w:t xml:space="preserve"> a public hearing on these permits in </w:t>
      </w:r>
      <w:proofErr w:type="gramStart"/>
      <w:r>
        <w:rPr>
          <w:rFonts w:cstheme="minorHAnsi"/>
        </w:rPr>
        <w:t>September</w:t>
      </w:r>
      <w:r w:rsidR="00BF40A5">
        <w:rPr>
          <w:rFonts w:cstheme="minorHAnsi"/>
        </w:rPr>
        <w:t>,</w:t>
      </w:r>
      <w:proofErr w:type="gramEnd"/>
      <w:r w:rsidR="00BF40A5">
        <w:rPr>
          <w:rFonts w:cstheme="minorHAnsi"/>
        </w:rPr>
        <w:t xml:space="preserve"> 2018</w:t>
      </w:r>
      <w:r>
        <w:rPr>
          <w:rFonts w:cstheme="minorHAnsi"/>
        </w:rPr>
        <w:t xml:space="preserve">.  Notices of the public hearing </w:t>
      </w:r>
      <w:r w:rsidR="00BF40A5">
        <w:rPr>
          <w:rFonts w:cstheme="minorHAnsi"/>
        </w:rPr>
        <w:t>were</w:t>
      </w:r>
      <w:r>
        <w:rPr>
          <w:rFonts w:cstheme="minorHAnsi"/>
        </w:rPr>
        <w:t xml:space="preserve"> published in various newspapers in the State.  </w:t>
      </w:r>
    </w:p>
    <w:p w:rsidR="001B3A69" w:rsidRDefault="001B3A69" w:rsidP="001B3A69">
      <w:pPr>
        <w:pStyle w:val="ListParagraph"/>
        <w:widowControl/>
        <w:numPr>
          <w:ilvl w:val="0"/>
          <w:numId w:val="21"/>
        </w:numPr>
        <w:spacing w:after="160" w:line="259" w:lineRule="auto"/>
        <w:ind w:left="360"/>
        <w:jc w:val="left"/>
        <w:rPr>
          <w:rFonts w:cstheme="minorHAnsi"/>
        </w:rPr>
      </w:pPr>
      <w:r>
        <w:rPr>
          <w:rFonts w:cstheme="minorHAnsi"/>
        </w:rPr>
        <w:t>Benefits of GCP permits:</w:t>
      </w:r>
    </w:p>
    <w:p w:rsidR="001B3A69" w:rsidRDefault="001B3A69" w:rsidP="001B3A69">
      <w:pPr>
        <w:pStyle w:val="ListParagraph"/>
        <w:widowControl/>
        <w:numPr>
          <w:ilvl w:val="1"/>
          <w:numId w:val="21"/>
        </w:numPr>
        <w:spacing w:after="160" w:line="259" w:lineRule="auto"/>
        <w:ind w:left="720"/>
        <w:jc w:val="left"/>
        <w:rPr>
          <w:rFonts w:cstheme="minorHAnsi"/>
        </w:rPr>
      </w:pPr>
      <w:r>
        <w:rPr>
          <w:rFonts w:cstheme="minorHAnsi"/>
        </w:rPr>
        <w:t>The permit process is streamlined because the air dispersion modeling analyses have already been performed. These permits are authorized to operate anywhere in the State.  This pre-modeling, which is required for any GCP, saves modeling review resources.</w:t>
      </w:r>
    </w:p>
    <w:p w:rsidR="001B3A69" w:rsidRDefault="001B3A69" w:rsidP="001B3A69">
      <w:pPr>
        <w:pStyle w:val="ListParagraph"/>
        <w:widowControl/>
        <w:numPr>
          <w:ilvl w:val="1"/>
          <w:numId w:val="21"/>
        </w:numPr>
        <w:spacing w:after="160" w:line="259" w:lineRule="auto"/>
        <w:ind w:left="720"/>
        <w:jc w:val="left"/>
        <w:rPr>
          <w:rFonts w:cstheme="minorHAnsi"/>
        </w:rPr>
      </w:pPr>
      <w:r>
        <w:rPr>
          <w:rFonts w:cstheme="minorHAnsi"/>
        </w:rPr>
        <w:t>General Construction Permits standardize permit conditions and requirements, which provides consistency in permits, improves the ability to determine compliance, and provides regulatory certainty for compliance requirements.</w:t>
      </w:r>
    </w:p>
    <w:p w:rsidR="001B3A69" w:rsidRDefault="001B3A69" w:rsidP="001B3A69">
      <w:pPr>
        <w:pStyle w:val="ListParagraph"/>
        <w:widowControl/>
        <w:numPr>
          <w:ilvl w:val="1"/>
          <w:numId w:val="21"/>
        </w:numPr>
        <w:spacing w:after="160" w:line="259" w:lineRule="auto"/>
        <w:ind w:left="720"/>
        <w:jc w:val="left"/>
        <w:rPr>
          <w:rFonts w:cstheme="minorHAnsi"/>
        </w:rPr>
      </w:pPr>
      <w:r>
        <w:rPr>
          <w:rFonts w:cstheme="minorHAnsi"/>
        </w:rPr>
        <w:t>Companies that own and operate under this permit can, thus, standardize compliance demonstrations, forms, calculation methods, testing protocols, and compliance schedules for their compliance staff.</w:t>
      </w:r>
    </w:p>
    <w:p w:rsidR="001B3A69" w:rsidRDefault="001B3A69" w:rsidP="001B3A69">
      <w:pPr>
        <w:pStyle w:val="ListParagraph"/>
        <w:widowControl/>
        <w:numPr>
          <w:ilvl w:val="1"/>
          <w:numId w:val="21"/>
        </w:numPr>
        <w:spacing w:after="160" w:line="259" w:lineRule="auto"/>
        <w:ind w:left="720"/>
        <w:jc w:val="left"/>
        <w:rPr>
          <w:rFonts w:cstheme="minorHAnsi"/>
        </w:rPr>
      </w:pPr>
      <w:r>
        <w:rPr>
          <w:rFonts w:cstheme="minorHAnsi"/>
        </w:rPr>
        <w:t>The Department has also developed an Air Emissions Calculation Tool, which is s calculation tool submitted with the Registration Form.  This Tool standardizes the emission calculations, which helps reduce errors and make process review time more efficient.</w:t>
      </w:r>
    </w:p>
    <w:p w:rsidR="001B3A69" w:rsidRDefault="00BF40A5" w:rsidP="001B3A69">
      <w:pPr>
        <w:pStyle w:val="ListParagraph"/>
        <w:widowControl/>
        <w:numPr>
          <w:ilvl w:val="1"/>
          <w:numId w:val="21"/>
        </w:numPr>
        <w:spacing w:after="160" w:line="259" w:lineRule="auto"/>
        <w:ind w:left="720"/>
        <w:jc w:val="left"/>
        <w:rPr>
          <w:rFonts w:cstheme="minorHAnsi"/>
        </w:rPr>
      </w:pPr>
      <w:r>
        <w:rPr>
          <w:rFonts w:cstheme="minorHAnsi"/>
        </w:rPr>
        <w:t>T</w:t>
      </w:r>
      <w:r w:rsidR="001B3A69">
        <w:rPr>
          <w:rFonts w:cstheme="minorHAnsi"/>
        </w:rPr>
        <w:t xml:space="preserve">he Department will issue a General Operating Permit (GOP) to cover those facilities that are major sources under 20.2.70 NMAC.  </w:t>
      </w:r>
      <w:bookmarkStart w:id="0" w:name="_GoBack"/>
      <w:bookmarkEnd w:id="0"/>
    </w:p>
    <w:p w:rsidR="001B3A69" w:rsidRDefault="001B3A69" w:rsidP="001B3A69">
      <w:pPr>
        <w:ind w:left="360"/>
        <w:rPr>
          <w:rFonts w:cstheme="minorHAnsi"/>
        </w:rPr>
      </w:pPr>
    </w:p>
    <w:p w:rsidR="001B3A69" w:rsidRPr="008437F5" w:rsidRDefault="001B3A69" w:rsidP="001B3A69">
      <w:pPr>
        <w:ind w:left="360"/>
        <w:rPr>
          <w:rFonts w:cstheme="minorHAnsi"/>
        </w:rPr>
      </w:pPr>
      <w:r>
        <w:rPr>
          <w:rFonts w:cstheme="minorHAnsi"/>
        </w:rPr>
        <w:t xml:space="preserve">Questions or comments may be directed to Liz Bisbey-Kuehn at </w:t>
      </w:r>
      <w:hyperlink r:id="rId14" w:history="1">
        <w:r w:rsidRPr="00553985">
          <w:rPr>
            <w:rStyle w:val="Hyperlink"/>
            <w:rFonts w:cstheme="minorHAnsi"/>
          </w:rPr>
          <w:t>Elizabeth.kuehn@state.nm.us</w:t>
        </w:r>
      </w:hyperlink>
      <w:r>
        <w:rPr>
          <w:rFonts w:cstheme="minorHAnsi"/>
        </w:rPr>
        <w:t xml:space="preserve"> or at 505-476-4305.</w:t>
      </w:r>
    </w:p>
    <w:p w:rsidR="001B3A69" w:rsidRPr="008437F5" w:rsidRDefault="001B3A69" w:rsidP="001B3A69">
      <w:pPr>
        <w:ind w:left="360"/>
        <w:rPr>
          <w:rFonts w:cstheme="minorHAnsi"/>
        </w:rPr>
      </w:pPr>
    </w:p>
    <w:p w:rsidR="001B3A69" w:rsidRDefault="001B3A69" w:rsidP="001B3A69"/>
    <w:p w:rsidR="001B3A69" w:rsidRPr="001B3A69" w:rsidRDefault="001B3A69" w:rsidP="001B3A69"/>
    <w:p w:rsidR="001B3A69" w:rsidRPr="001B3A69" w:rsidRDefault="001B3A69" w:rsidP="001B3A69"/>
    <w:p w:rsidR="001B3A69" w:rsidRPr="001B3A69" w:rsidRDefault="001B3A69" w:rsidP="001B3A69"/>
    <w:p w:rsidR="001B3A69" w:rsidRPr="001B3A69" w:rsidRDefault="001B3A69" w:rsidP="001B3A69"/>
    <w:p w:rsidR="001B3A69" w:rsidRPr="001B3A69" w:rsidRDefault="001B3A69" w:rsidP="001B3A69"/>
    <w:p w:rsidR="001B3A69" w:rsidRPr="001B3A69" w:rsidRDefault="001B3A69" w:rsidP="001B3A69"/>
    <w:p w:rsidR="001B3A69" w:rsidRDefault="001B3A69" w:rsidP="001B3A69"/>
    <w:p w:rsidR="001B3A69" w:rsidRPr="001B3A69" w:rsidRDefault="001B3A69" w:rsidP="001B3A69">
      <w:pPr>
        <w:tabs>
          <w:tab w:val="left" w:pos="3807"/>
        </w:tabs>
      </w:pPr>
      <w:r>
        <w:tab/>
      </w:r>
    </w:p>
    <w:sectPr w:rsidR="001B3A69" w:rsidRPr="001B3A69" w:rsidSect="00E96747">
      <w:headerReference w:type="default" r:id="rId15"/>
      <w:endnotePr>
        <w:numFmt w:val="decimal"/>
      </w:endnotePr>
      <w:type w:val="continuous"/>
      <w:pgSz w:w="12240" w:h="15840" w:code="1"/>
      <w:pgMar w:top="1440" w:right="1440" w:bottom="1440" w:left="1440" w:header="63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61D" w:rsidRDefault="00D0261D">
      <w:r>
        <w:separator/>
      </w:r>
    </w:p>
  </w:endnote>
  <w:endnote w:type="continuationSeparator" w:id="0">
    <w:p w:rsidR="00D0261D" w:rsidRDefault="00D0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29F" w:rsidRDefault="00D56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29D" w:rsidRDefault="00C2629D">
    <w:pPr>
      <w:pStyle w:val="Footer"/>
    </w:pPr>
    <w:r>
      <w:rPr>
        <w:color w:val="999999"/>
        <w:sz w:val="20"/>
      </w:rPr>
      <w:tab/>
    </w:r>
    <w:r>
      <w:rPr>
        <w:color w:val="999999"/>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29F" w:rsidRDefault="00D56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61D" w:rsidRDefault="00D0261D">
      <w:r>
        <w:separator/>
      </w:r>
    </w:p>
  </w:footnote>
  <w:footnote w:type="continuationSeparator" w:id="0">
    <w:p w:rsidR="00D0261D" w:rsidRDefault="00D02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29F" w:rsidRDefault="00D56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29D" w:rsidRDefault="00C2629D" w:rsidP="00E96747">
    <w:pPr>
      <w:ind w:right="630"/>
      <w:jc w:val="center"/>
      <w:rPr>
        <w:sz w:val="10"/>
      </w:rPr>
    </w:pPr>
  </w:p>
  <w:tbl>
    <w:tblPr>
      <w:tblW w:w="11250" w:type="dxa"/>
      <w:tblInd w:w="-750" w:type="dxa"/>
      <w:tblLayout w:type="fixed"/>
      <w:tblCellMar>
        <w:left w:w="60" w:type="dxa"/>
        <w:right w:w="60" w:type="dxa"/>
      </w:tblCellMar>
      <w:tblLook w:val="0000" w:firstRow="0" w:lastRow="0" w:firstColumn="0" w:lastColumn="0" w:noHBand="0" w:noVBand="0"/>
    </w:tblPr>
    <w:tblGrid>
      <w:gridCol w:w="2610"/>
      <w:gridCol w:w="5760"/>
      <w:gridCol w:w="2880"/>
    </w:tblGrid>
    <w:tr w:rsidR="00C2629D" w:rsidRPr="004751AD" w:rsidTr="00D6524C">
      <w:trPr>
        <w:trHeight w:val="3048"/>
      </w:trPr>
      <w:tc>
        <w:tcPr>
          <w:tcW w:w="2610" w:type="dxa"/>
        </w:tcPr>
        <w:p w:rsidR="00C2629D" w:rsidRDefault="00C2629D" w:rsidP="00D6524C">
          <w:pPr>
            <w:jc w:val="center"/>
            <w:rPr>
              <w:rFonts w:cs="Arial"/>
              <w:sz w:val="16"/>
              <w:szCs w:val="16"/>
            </w:rPr>
          </w:pPr>
          <w:r>
            <w:rPr>
              <w:noProof/>
              <w:snapToGrid/>
            </w:rPr>
            <mc:AlternateContent>
              <mc:Choice Requires="wps">
                <w:drawing>
                  <wp:anchor distT="0" distB="0" distL="114300" distR="114300" simplePos="0" relativeHeight="251660288" behindDoc="0" locked="1" layoutInCell="1" allowOverlap="0" wp14:anchorId="660660F4" wp14:editId="1DC25A84">
                    <wp:simplePos x="0" y="0"/>
                    <wp:positionH relativeFrom="margin">
                      <wp:posOffset>241935</wp:posOffset>
                    </wp:positionH>
                    <wp:positionV relativeFrom="margin">
                      <wp:posOffset>59690</wp:posOffset>
                    </wp:positionV>
                    <wp:extent cx="1116965" cy="996315"/>
                    <wp:effectExtent l="3810" t="2540" r="254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99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29D" w:rsidRDefault="00C2629D" w:rsidP="00E96747">
                                <w:r>
                                  <w:rPr>
                                    <w:noProof/>
                                    <w:snapToGrid/>
                                  </w:rPr>
                                  <w:drawing>
                                    <wp:inline distT="0" distB="0" distL="0" distR="0" wp14:anchorId="3B815C63" wp14:editId="6CC21283">
                                      <wp:extent cx="904875" cy="904875"/>
                                      <wp:effectExtent l="19050" t="0" r="9525" b="0"/>
                                      <wp:docPr id="9" name="Picture 1" descr="StateSealBW-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BW-Small"/>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0660F4" id="_x0000_t202" coordsize="21600,21600" o:spt="202" path="m,l,21600r21600,l21600,xe">
                    <v:stroke joinstyle="miter"/>
                    <v:path gradientshapeok="t" o:connecttype="rect"/>
                  </v:shapetype>
                  <v:shape id="Text Box 1" o:spid="_x0000_s1026" type="#_x0000_t202" style="position:absolute;left:0;text-align:left;margin-left:19.05pt;margin-top:4.7pt;width:87.95pt;height:78.4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" o:allowoverlap="f" filled="f" stroked="f">
                    <v:textbox style="mso-fit-shape-to-text:t">
                      <w:txbxContent>
                        <w:p w:rsidR="00C2629D" w:rsidRDefault="00C2629D" w:rsidP="00E96747">
                          <w:r>
                            <w:rPr>
                              <w:noProof/>
                              <w:snapToGrid/>
                            </w:rPr>
                            <w:drawing>
                              <wp:inline distT="0" distB="0" distL="0" distR="0" wp14:anchorId="3B815C63" wp14:editId="6CC21283">
                                <wp:extent cx="904875" cy="904875"/>
                                <wp:effectExtent l="19050" t="0" r="9525" b="0"/>
                                <wp:docPr id="9" name="Picture 1" descr="StateSealBW-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BW-Small"/>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txbxContent>
                    </v:textbox>
                    <w10:wrap type="square" anchorx="margin" anchory="margin"/>
                    <w10:anchorlock/>
                  </v:shape>
                </w:pict>
              </mc:Fallback>
            </mc:AlternateContent>
          </w:r>
        </w:p>
        <w:p w:rsidR="00C2629D" w:rsidRPr="00297436" w:rsidRDefault="00C2629D" w:rsidP="00D6524C">
          <w:pPr>
            <w:jc w:val="center"/>
            <w:rPr>
              <w:b/>
              <w:sz w:val="16"/>
              <w:szCs w:val="16"/>
            </w:rPr>
          </w:pPr>
          <w:r>
            <w:rPr>
              <w:b/>
              <w:sz w:val="16"/>
              <w:szCs w:val="16"/>
            </w:rPr>
            <w:t>SUSANA MARTINEZ</w:t>
          </w:r>
        </w:p>
        <w:p w:rsidR="00C2629D" w:rsidRPr="00297436" w:rsidRDefault="00C2629D" w:rsidP="00D6524C">
          <w:pPr>
            <w:jc w:val="center"/>
            <w:rPr>
              <w:sz w:val="18"/>
              <w:szCs w:val="18"/>
            </w:rPr>
          </w:pPr>
          <w:r w:rsidRPr="00297436">
            <w:rPr>
              <w:sz w:val="18"/>
              <w:szCs w:val="18"/>
            </w:rPr>
            <w:t>Governor</w:t>
          </w:r>
        </w:p>
        <w:p w:rsidR="00C2629D" w:rsidRPr="00297436" w:rsidRDefault="00C2629D" w:rsidP="00D6524C">
          <w:pPr>
            <w:jc w:val="center"/>
            <w:rPr>
              <w:sz w:val="16"/>
              <w:szCs w:val="16"/>
            </w:rPr>
          </w:pPr>
        </w:p>
        <w:p w:rsidR="00C2629D" w:rsidRPr="00297436" w:rsidRDefault="00C2629D" w:rsidP="00D6524C">
          <w:pPr>
            <w:jc w:val="center"/>
            <w:rPr>
              <w:b/>
              <w:sz w:val="16"/>
              <w:szCs w:val="16"/>
            </w:rPr>
          </w:pPr>
          <w:r>
            <w:rPr>
              <w:b/>
              <w:sz w:val="16"/>
              <w:szCs w:val="16"/>
            </w:rPr>
            <w:t>JOHN A. SANCHEZ</w:t>
          </w:r>
        </w:p>
        <w:p w:rsidR="00C2629D" w:rsidRPr="00297436" w:rsidRDefault="00C2629D" w:rsidP="00D6524C">
          <w:pPr>
            <w:jc w:val="center"/>
            <w:rPr>
              <w:sz w:val="18"/>
              <w:szCs w:val="18"/>
            </w:rPr>
          </w:pPr>
          <w:r w:rsidRPr="00297436">
            <w:rPr>
              <w:sz w:val="18"/>
              <w:szCs w:val="18"/>
            </w:rPr>
            <w:t>Lieutenant Governor</w:t>
          </w:r>
        </w:p>
        <w:p w:rsidR="00C2629D" w:rsidRPr="000D36FE" w:rsidRDefault="00C2629D" w:rsidP="00D6524C">
          <w:pPr>
            <w:spacing w:after="58"/>
            <w:ind w:hanging="240"/>
            <w:jc w:val="center"/>
            <w:rPr>
              <w:sz w:val="16"/>
              <w:szCs w:val="16"/>
            </w:rPr>
          </w:pPr>
        </w:p>
      </w:tc>
      <w:tc>
        <w:tcPr>
          <w:tcW w:w="5760" w:type="dxa"/>
        </w:tcPr>
        <w:p w:rsidR="00C2629D" w:rsidRDefault="00C2629D" w:rsidP="00D6524C">
          <w:pPr>
            <w:spacing w:line="120" w:lineRule="exact"/>
            <w:jc w:val="center"/>
          </w:pPr>
        </w:p>
        <w:p w:rsidR="00C2629D" w:rsidRPr="005514F5" w:rsidRDefault="00C2629D" w:rsidP="00D6524C">
          <w:pPr>
            <w:spacing w:line="318" w:lineRule="exact"/>
            <w:jc w:val="center"/>
            <w:rPr>
              <w:b/>
              <w:sz w:val="28"/>
              <w:szCs w:val="28"/>
            </w:rPr>
          </w:pPr>
          <w:r w:rsidRPr="005514F5">
            <w:rPr>
              <w:b/>
              <w:sz w:val="28"/>
              <w:szCs w:val="28"/>
            </w:rPr>
            <w:t>New Mexico</w:t>
          </w:r>
        </w:p>
        <w:p w:rsidR="00C2629D" w:rsidRDefault="00C2629D" w:rsidP="00D6524C">
          <w:pPr>
            <w:spacing w:after="120" w:line="318" w:lineRule="exact"/>
            <w:jc w:val="center"/>
            <w:rPr>
              <w:b/>
              <w:i/>
              <w:sz w:val="28"/>
              <w:szCs w:val="28"/>
            </w:rPr>
          </w:pPr>
          <w:r w:rsidRPr="005514F5">
            <w:rPr>
              <w:b/>
              <w:i/>
              <w:sz w:val="28"/>
              <w:szCs w:val="28"/>
            </w:rPr>
            <w:t>ENVIRONMENT DEPARTMENT</w:t>
          </w:r>
        </w:p>
        <w:p w:rsidR="00C2629D" w:rsidRPr="00010172" w:rsidRDefault="00C2629D" w:rsidP="00D6524C">
          <w:pPr>
            <w:spacing w:line="318" w:lineRule="exact"/>
            <w:jc w:val="center"/>
            <w:rPr>
              <w:sz w:val="22"/>
              <w:szCs w:val="22"/>
            </w:rPr>
          </w:pPr>
          <w:r w:rsidRPr="00010172">
            <w:rPr>
              <w:sz w:val="22"/>
              <w:szCs w:val="22"/>
            </w:rPr>
            <w:t xml:space="preserve">525 Camino de </w:t>
          </w:r>
          <w:proofErr w:type="spellStart"/>
          <w:r w:rsidRPr="00010172">
            <w:rPr>
              <w:sz w:val="22"/>
              <w:szCs w:val="22"/>
            </w:rPr>
            <w:t>los</w:t>
          </w:r>
          <w:proofErr w:type="spellEnd"/>
          <w:r w:rsidRPr="00010172">
            <w:rPr>
              <w:sz w:val="22"/>
              <w:szCs w:val="22"/>
            </w:rPr>
            <w:t xml:space="preserve"> Marquez</w:t>
          </w:r>
          <w:r>
            <w:rPr>
              <w:sz w:val="22"/>
              <w:szCs w:val="22"/>
            </w:rPr>
            <w:t>, Suite 1</w:t>
          </w:r>
        </w:p>
        <w:p w:rsidR="00C2629D" w:rsidRPr="00010172" w:rsidRDefault="00C2629D" w:rsidP="00D6524C">
          <w:pPr>
            <w:spacing w:line="318" w:lineRule="exact"/>
            <w:jc w:val="center"/>
            <w:rPr>
              <w:sz w:val="22"/>
              <w:szCs w:val="22"/>
            </w:rPr>
          </w:pPr>
          <w:r w:rsidRPr="00010172">
            <w:rPr>
              <w:sz w:val="22"/>
              <w:szCs w:val="22"/>
            </w:rPr>
            <w:t>Santa Fe, New Mexico, 87505</w:t>
          </w:r>
        </w:p>
        <w:p w:rsidR="00C2629D" w:rsidRPr="00010172" w:rsidRDefault="00C2629D" w:rsidP="00D6524C">
          <w:pPr>
            <w:spacing w:line="318" w:lineRule="exact"/>
            <w:jc w:val="center"/>
            <w:rPr>
              <w:sz w:val="22"/>
              <w:szCs w:val="22"/>
            </w:rPr>
          </w:pPr>
          <w:r w:rsidRPr="00010172">
            <w:rPr>
              <w:sz w:val="22"/>
              <w:szCs w:val="22"/>
            </w:rPr>
            <w:t>Phone (505) 476-4300</w:t>
          </w:r>
        </w:p>
        <w:p w:rsidR="00C2629D" w:rsidRPr="00010172" w:rsidRDefault="00C2629D" w:rsidP="00D6524C">
          <w:pPr>
            <w:spacing w:line="318" w:lineRule="exact"/>
            <w:jc w:val="center"/>
            <w:rPr>
              <w:sz w:val="22"/>
              <w:szCs w:val="22"/>
            </w:rPr>
          </w:pPr>
          <w:r w:rsidRPr="00010172">
            <w:rPr>
              <w:sz w:val="22"/>
              <w:szCs w:val="22"/>
            </w:rPr>
            <w:t>Fax (505) 476-4375</w:t>
          </w:r>
        </w:p>
        <w:p w:rsidR="00C2629D" w:rsidRDefault="00C2629D" w:rsidP="008B2A3A">
          <w:pPr>
            <w:spacing w:after="58" w:line="318" w:lineRule="exact"/>
            <w:jc w:val="center"/>
            <w:rPr>
              <w:b/>
            </w:rPr>
          </w:pPr>
          <w:r w:rsidRPr="00010172">
            <w:rPr>
              <w:i/>
              <w:sz w:val="22"/>
              <w:szCs w:val="22"/>
            </w:rPr>
            <w:t>www.</w:t>
          </w:r>
          <w:r>
            <w:rPr>
              <w:i/>
              <w:sz w:val="22"/>
              <w:szCs w:val="22"/>
            </w:rPr>
            <w:t>env.nm.gov</w:t>
          </w:r>
        </w:p>
      </w:tc>
      <w:tc>
        <w:tcPr>
          <w:tcW w:w="2880" w:type="dxa"/>
        </w:tcPr>
        <w:p w:rsidR="00C2629D" w:rsidRDefault="00C2629D" w:rsidP="00D6524C">
          <w:pPr>
            <w:jc w:val="center"/>
            <w:rPr>
              <w:b/>
            </w:rPr>
          </w:pPr>
          <w:r>
            <w:rPr>
              <w:b/>
              <w:noProof/>
              <w:snapToGrid/>
            </w:rPr>
            <mc:AlternateContent>
              <mc:Choice Requires="wps">
                <w:drawing>
                  <wp:anchor distT="0" distB="0" distL="114300" distR="114300" simplePos="0" relativeHeight="251661312" behindDoc="0" locked="1" layoutInCell="1" allowOverlap="0" wp14:anchorId="441746AE" wp14:editId="4BFF5B0D">
                    <wp:simplePos x="0" y="0"/>
                    <wp:positionH relativeFrom="margin">
                      <wp:posOffset>274955</wp:posOffset>
                    </wp:positionH>
                    <wp:positionV relativeFrom="margin">
                      <wp:posOffset>66040</wp:posOffset>
                    </wp:positionV>
                    <wp:extent cx="1116965" cy="98679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29D" w:rsidRDefault="00C2629D" w:rsidP="00E96747">
                                <w:r>
                                  <w:rPr>
                                    <w:noProof/>
                                    <w:snapToGrid/>
                                  </w:rPr>
                                  <w:drawing>
                                    <wp:inline distT="0" distB="0" distL="0" distR="0" wp14:anchorId="6C4D0F8B" wp14:editId="635A2D52">
                                      <wp:extent cx="933450" cy="895350"/>
                                      <wp:effectExtent l="0" t="0" r="0" b="0"/>
                                      <wp:docPr id="10" name="Picture 2" descr="Gre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ySeal"/>
                                              <pic:cNvPicPr>
                                                <a:picLocks noChangeAspect="1" noChangeArrowheads="1"/>
                                              </pic:cNvPicPr>
                                            </pic:nvPicPr>
                                            <pic:blipFill>
                                              <a:blip r:embed="rId2"/>
                                              <a:srcRect/>
                                              <a:stretch>
                                                <a:fillRect/>
                                              </a:stretch>
                                            </pic:blipFill>
                                            <pic:spPr bwMode="auto">
                                              <a:xfrm>
                                                <a:off x="0" y="0"/>
                                                <a:ext cx="933450" cy="8953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1746AE" id="Text Box 2" o:spid="_x0000_s1027" type="#_x0000_t202" style="position:absolute;left:0;text-align:left;margin-left:21.65pt;margin-top:5.2pt;width:87.95pt;height:77.7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" o:allowoverlap="f" filled="f" stroked="f">
                    <v:textbox style="mso-fit-shape-to-text:t">
                      <w:txbxContent>
                        <w:p w:rsidR="00C2629D" w:rsidRDefault="00C2629D" w:rsidP="00E96747">
                          <w:r>
                            <w:rPr>
                              <w:noProof/>
                              <w:snapToGrid/>
                            </w:rPr>
                            <w:drawing>
                              <wp:inline distT="0" distB="0" distL="0" distR="0" wp14:anchorId="6C4D0F8B" wp14:editId="635A2D52">
                                <wp:extent cx="933450" cy="895350"/>
                                <wp:effectExtent l="0" t="0" r="0" b="0"/>
                                <wp:docPr id="10" name="Picture 2" descr="Gre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ySeal"/>
                                        <pic:cNvPicPr>
                                          <a:picLocks noChangeAspect="1" noChangeArrowheads="1"/>
                                        </pic:cNvPicPr>
                                      </pic:nvPicPr>
                                      <pic:blipFill>
                                        <a:blip r:embed="rId2"/>
                                        <a:srcRect/>
                                        <a:stretch>
                                          <a:fillRect/>
                                        </a:stretch>
                                      </pic:blipFill>
                                      <pic:spPr bwMode="auto">
                                        <a:xfrm>
                                          <a:off x="0" y="0"/>
                                          <a:ext cx="933450" cy="895350"/>
                                        </a:xfrm>
                                        <a:prstGeom prst="rect">
                                          <a:avLst/>
                                        </a:prstGeom>
                                        <a:noFill/>
                                        <a:ln w="9525">
                                          <a:noFill/>
                                          <a:miter lim="800000"/>
                                          <a:headEnd/>
                                          <a:tailEnd/>
                                        </a:ln>
                                      </pic:spPr>
                                    </pic:pic>
                                  </a:graphicData>
                                </a:graphic>
                              </wp:inline>
                            </w:drawing>
                          </w:r>
                        </w:p>
                      </w:txbxContent>
                    </v:textbox>
                    <w10:wrap anchorx="margin" anchory="margin"/>
                    <w10:anchorlock/>
                  </v:shape>
                </w:pict>
              </mc:Fallback>
            </mc:AlternateContent>
          </w:r>
        </w:p>
        <w:p w:rsidR="00C2629D" w:rsidRDefault="00C2629D" w:rsidP="00D6524C">
          <w:pPr>
            <w:jc w:val="center"/>
            <w:rPr>
              <w:rFonts w:ascii="Arial" w:hAnsi="Arial"/>
              <w:b/>
              <w:sz w:val="16"/>
            </w:rPr>
          </w:pPr>
        </w:p>
        <w:p w:rsidR="00C2629D" w:rsidRDefault="00C2629D" w:rsidP="00D6524C">
          <w:pPr>
            <w:jc w:val="center"/>
            <w:rPr>
              <w:rFonts w:ascii="Arial" w:hAnsi="Arial"/>
              <w:b/>
              <w:sz w:val="16"/>
            </w:rPr>
          </w:pPr>
        </w:p>
        <w:p w:rsidR="00C2629D" w:rsidRDefault="00C2629D" w:rsidP="00D6524C">
          <w:pPr>
            <w:jc w:val="center"/>
            <w:rPr>
              <w:rFonts w:ascii="Arial" w:hAnsi="Arial"/>
              <w:b/>
              <w:sz w:val="16"/>
            </w:rPr>
          </w:pPr>
        </w:p>
        <w:p w:rsidR="00C2629D" w:rsidRDefault="00C2629D" w:rsidP="00D6524C">
          <w:pPr>
            <w:jc w:val="center"/>
            <w:rPr>
              <w:rFonts w:ascii="Arial" w:hAnsi="Arial"/>
              <w:b/>
              <w:sz w:val="16"/>
            </w:rPr>
          </w:pPr>
        </w:p>
        <w:p w:rsidR="00C2629D" w:rsidRDefault="00C2629D" w:rsidP="00D6524C">
          <w:pPr>
            <w:jc w:val="center"/>
            <w:rPr>
              <w:rFonts w:ascii="Arial" w:hAnsi="Arial"/>
              <w:b/>
              <w:sz w:val="16"/>
            </w:rPr>
          </w:pPr>
        </w:p>
        <w:p w:rsidR="00C2629D" w:rsidRDefault="00C2629D" w:rsidP="00D6524C">
          <w:pPr>
            <w:jc w:val="center"/>
            <w:rPr>
              <w:rFonts w:ascii="Arial" w:hAnsi="Arial"/>
              <w:b/>
              <w:sz w:val="16"/>
            </w:rPr>
          </w:pPr>
        </w:p>
        <w:p w:rsidR="00C2629D" w:rsidRDefault="00C2629D" w:rsidP="00D6524C">
          <w:pPr>
            <w:jc w:val="center"/>
            <w:rPr>
              <w:rFonts w:ascii="Arial" w:hAnsi="Arial"/>
              <w:b/>
              <w:sz w:val="16"/>
            </w:rPr>
          </w:pPr>
        </w:p>
        <w:p w:rsidR="00C2629D" w:rsidRPr="00297436" w:rsidRDefault="00C2629D" w:rsidP="00D6524C">
          <w:pPr>
            <w:jc w:val="center"/>
            <w:rPr>
              <w:sz w:val="16"/>
              <w:szCs w:val="16"/>
            </w:rPr>
          </w:pPr>
        </w:p>
        <w:p w:rsidR="00C2629D" w:rsidRPr="00297436" w:rsidRDefault="00C2629D" w:rsidP="00D6524C">
          <w:pPr>
            <w:jc w:val="center"/>
            <w:rPr>
              <w:b/>
              <w:sz w:val="16"/>
              <w:szCs w:val="16"/>
            </w:rPr>
          </w:pPr>
          <w:r>
            <w:rPr>
              <w:b/>
              <w:sz w:val="16"/>
              <w:szCs w:val="16"/>
            </w:rPr>
            <w:t>BUTCH TONGATE</w:t>
          </w:r>
        </w:p>
        <w:p w:rsidR="00C2629D" w:rsidRDefault="00C2629D" w:rsidP="00D6524C">
          <w:pPr>
            <w:jc w:val="center"/>
            <w:rPr>
              <w:sz w:val="18"/>
              <w:szCs w:val="18"/>
            </w:rPr>
          </w:pPr>
          <w:r>
            <w:rPr>
              <w:sz w:val="18"/>
              <w:szCs w:val="18"/>
            </w:rPr>
            <w:t xml:space="preserve">Cabinet </w:t>
          </w:r>
          <w:r w:rsidRPr="00297436">
            <w:rPr>
              <w:sz w:val="18"/>
              <w:szCs w:val="18"/>
            </w:rPr>
            <w:t>Secretary</w:t>
          </w:r>
        </w:p>
        <w:p w:rsidR="00D5629F" w:rsidRPr="00297436" w:rsidRDefault="00D5629F" w:rsidP="00D6524C">
          <w:pPr>
            <w:jc w:val="center"/>
            <w:rPr>
              <w:sz w:val="16"/>
              <w:szCs w:val="16"/>
            </w:rPr>
          </w:pPr>
        </w:p>
        <w:p w:rsidR="00C2629D" w:rsidRPr="00297436" w:rsidRDefault="00C2629D" w:rsidP="00D6524C">
          <w:pPr>
            <w:jc w:val="center"/>
            <w:rPr>
              <w:b/>
              <w:sz w:val="16"/>
              <w:szCs w:val="16"/>
            </w:rPr>
          </w:pPr>
          <w:r>
            <w:rPr>
              <w:b/>
              <w:sz w:val="16"/>
              <w:szCs w:val="16"/>
            </w:rPr>
            <w:t>JC BORREGO</w:t>
          </w:r>
        </w:p>
        <w:p w:rsidR="00C2629D" w:rsidRPr="00297436" w:rsidRDefault="00C2629D" w:rsidP="00D6524C">
          <w:pPr>
            <w:jc w:val="center"/>
            <w:rPr>
              <w:sz w:val="18"/>
              <w:szCs w:val="18"/>
            </w:rPr>
          </w:pPr>
          <w:r>
            <w:rPr>
              <w:sz w:val="18"/>
              <w:szCs w:val="18"/>
            </w:rPr>
            <w:t xml:space="preserve">Deputy </w:t>
          </w:r>
          <w:r w:rsidRPr="00297436">
            <w:rPr>
              <w:sz w:val="18"/>
              <w:szCs w:val="18"/>
            </w:rPr>
            <w:t>Secretary</w:t>
          </w:r>
        </w:p>
        <w:p w:rsidR="00C2629D" w:rsidRPr="004751AD" w:rsidRDefault="00C2629D" w:rsidP="00D6524C">
          <w:pPr>
            <w:jc w:val="center"/>
            <w:rPr>
              <w:rFonts w:ascii="Arial" w:hAnsi="Arial" w:cs="Arial"/>
              <w:sz w:val="16"/>
              <w:szCs w:val="16"/>
            </w:rPr>
          </w:pPr>
        </w:p>
      </w:tc>
    </w:tr>
  </w:tbl>
  <w:p w:rsidR="00C2629D" w:rsidRDefault="00C2629D" w:rsidP="00E96747">
    <w:pPr>
      <w:ind w:right="630"/>
      <w:jc w:val="lef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29D" w:rsidRDefault="00C2629D">
    <w:pPr>
      <w:tabs>
        <w:tab w:val="left" w:pos="-1440"/>
      </w:tabs>
      <w:ind w:left="7920" w:hanging="7920"/>
    </w:pPr>
    <w:r>
      <w:t>Streamline Permit No. XXXX</w:t>
    </w:r>
  </w:p>
  <w:p w:rsidR="00C2629D" w:rsidRDefault="00C2629D">
    <w:pPr>
      <w:tabs>
        <w:tab w:val="left" w:pos="-1440"/>
      </w:tabs>
      <w:ind w:left="7920" w:hanging="7920"/>
    </w:pPr>
    <w:r>
      <w:t xml:space="preserve">Page </w:t>
    </w:r>
    <w:r>
      <w:fldChar w:fldCharType="begin"/>
    </w:r>
    <w:r>
      <w:instrText xml:space="preserve"> PAGE </w:instrText>
    </w:r>
    <w:r>
      <w:fldChar w:fldCharType="separate"/>
    </w:r>
    <w:r>
      <w:rPr>
        <w:noProof/>
      </w:rPr>
      <w:t>24</w:t>
    </w:r>
    <w:r>
      <w:rPr>
        <w:noProof/>
      </w:rPr>
      <w:fldChar w:fldCharType="end"/>
    </w:r>
    <w:r>
      <w:t xml:space="preserve"> of </w:t>
    </w:r>
    <w:fldSimple w:instr=" NUMPAGES ">
      <w:r>
        <w:rPr>
          <w:noProof/>
        </w:rPr>
        <w:t>9</w:t>
      </w:r>
    </w:fldSimple>
  </w:p>
  <w:p w:rsidR="00C2629D" w:rsidRDefault="00C2629D">
    <w:pPr>
      <w:spacing w:line="240" w:lineRule="exact"/>
    </w:pPr>
  </w:p>
  <w:p w:rsidR="00C2629D" w:rsidRDefault="00C2629D">
    <w:pPr>
      <w:spacing w:line="240" w:lineRule="exact"/>
    </w:pPr>
  </w:p>
  <w:p w:rsidR="00C2629D" w:rsidRDefault="00C2629D">
    <w:pPr>
      <w:ind w:right="63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053097"/>
      <w:docPartObj>
        <w:docPartGallery w:val="Page Numbers (Top of Page)"/>
        <w:docPartUnique/>
      </w:docPartObj>
    </w:sdtPr>
    <w:sdtEndPr/>
    <w:sdtContent>
      <w:p w:rsidR="00C2629D" w:rsidRDefault="00C2629D" w:rsidP="00E96747">
        <w:pPr>
          <w:pStyle w:val="Header"/>
          <w:tabs>
            <w:tab w:val="clear" w:pos="4320"/>
            <w:tab w:val="clear" w:pos="8640"/>
            <w:tab w:val="right" w:pos="9360"/>
          </w:tabs>
        </w:pPr>
        <w:r>
          <w:tab/>
          <w:t>Page A</w:t>
        </w:r>
        <w:r w:rsidRPr="00033443">
          <w:rPr>
            <w:szCs w:val="24"/>
          </w:rPr>
          <w:fldChar w:fldCharType="begin"/>
        </w:r>
        <w:r w:rsidRPr="00033443">
          <w:instrText xml:space="preserve"> PAGE </w:instrText>
        </w:r>
        <w:r w:rsidRPr="00033443">
          <w:rPr>
            <w:szCs w:val="24"/>
          </w:rPr>
          <w:fldChar w:fldCharType="separate"/>
        </w:r>
        <w:r w:rsidR="00160AF8">
          <w:rPr>
            <w:noProof/>
          </w:rPr>
          <w:t>4</w:t>
        </w:r>
        <w:r w:rsidRPr="00033443">
          <w:rPr>
            <w:szCs w:val="24"/>
          </w:rPr>
          <w:fldChar w:fldCharType="end"/>
        </w:r>
        <w:r w:rsidRPr="00033443">
          <w:t xml:space="preserve"> </w:t>
        </w:r>
        <w:r>
          <w:t>of A</w:t>
        </w:r>
        <w:fldSimple w:instr=" NUMPAGES  ">
          <w:r w:rsidR="00160AF8">
            <w:rPr>
              <w:noProof/>
            </w:rPr>
            <w:t>8</w:t>
          </w:r>
        </w:fldSimple>
      </w:p>
    </w:sdtContent>
  </w:sdt>
  <w:p w:rsidR="00C2629D" w:rsidRDefault="00C2629D" w:rsidP="00E96747">
    <w:pP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D5C39"/>
    <w:multiLevelType w:val="hybridMultilevel"/>
    <w:tmpl w:val="68945BDE"/>
    <w:lvl w:ilvl="0" w:tplc="84426996">
      <w:start w:val="2"/>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A7F47"/>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pStyle w:val="aqbhsection100"/>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2" w15:restartNumberingAfterBreak="0">
    <w:nsid w:val="417A1F82"/>
    <w:multiLevelType w:val="singleLevel"/>
    <w:tmpl w:val="4D1C8756"/>
    <w:lvl w:ilvl="0">
      <w:start w:val="1"/>
      <w:numFmt w:val="lowerLetter"/>
      <w:pStyle w:val="ConditionIndent"/>
      <w:lvlText w:val="%1."/>
      <w:lvlJc w:val="left"/>
      <w:pPr>
        <w:tabs>
          <w:tab w:val="num" w:pos="1440"/>
        </w:tabs>
        <w:ind w:left="1440" w:hanging="720"/>
      </w:pPr>
      <w:rPr>
        <w:rFonts w:cs="Times New Roman" w:hint="default"/>
      </w:rPr>
    </w:lvl>
  </w:abstractNum>
  <w:abstractNum w:abstractNumId="3" w15:restartNumberingAfterBreak="0">
    <w:nsid w:val="45076CAB"/>
    <w:multiLevelType w:val="multilevel"/>
    <w:tmpl w:val="8406678E"/>
    <w:lvl w:ilvl="0">
      <w:start w:val="1"/>
      <w:numFmt w:val="upperLetter"/>
      <w:pStyle w:val="AQBHPart"/>
      <w:lvlText w:val="Part %1"/>
      <w:lvlJc w:val="left"/>
      <w:pPr>
        <w:tabs>
          <w:tab w:val="num" w:pos="360"/>
        </w:tabs>
        <w:ind w:left="360" w:hanging="360"/>
      </w:pPr>
      <w:rPr>
        <w:rFonts w:hint="default"/>
      </w:rPr>
    </w:lvl>
    <w:lvl w:ilvl="1">
      <w:start w:val="100"/>
      <w:numFmt w:val="decimal"/>
      <w:pStyle w:val="AQBHSection1000"/>
      <w:lvlText w:val="%1%2"/>
      <w:lvlJc w:val="left"/>
      <w:pPr>
        <w:tabs>
          <w:tab w:val="num" w:pos="900"/>
        </w:tabs>
        <w:ind w:left="90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E2B118D"/>
    <w:multiLevelType w:val="hybridMultilevel"/>
    <w:tmpl w:val="7096BFD0"/>
    <w:lvl w:ilvl="0" w:tplc="6F2AF7CE">
      <w:start w:val="1"/>
      <w:numFmt w:val="upperLetter"/>
      <w:pStyle w:val="AQBCLvl-1"/>
      <w:lvlText w:val="%1."/>
      <w:lvlJc w:val="left"/>
      <w:pPr>
        <w:tabs>
          <w:tab w:val="num" w:pos="1026"/>
        </w:tabs>
        <w:ind w:left="102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decimal"/>
      <w:pStyle w:val="AQBCLvl-2"/>
      <w:lvlText w:val="(%2)"/>
      <w:lvlJc w:val="right"/>
      <w:pPr>
        <w:tabs>
          <w:tab w:val="num" w:pos="1440"/>
        </w:tabs>
        <w:ind w:left="1440" w:hanging="360"/>
      </w:pPr>
      <w:rPr>
        <w:rFonts w:hint="default"/>
      </w:rPr>
    </w:lvl>
    <w:lvl w:ilvl="2" w:tplc="FFFFFFFF">
      <w:start w:val="1"/>
      <w:numFmt w:val="lowerLetter"/>
      <w:pStyle w:val="AQBCLvl-3"/>
      <w:lvlText w:val="(%3)"/>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lowerRoman"/>
      <w:pStyle w:val="AQBCLvl-4"/>
      <w:lvlText w:val="%4."/>
      <w:lvlJc w:val="righ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8B523B0"/>
    <w:multiLevelType w:val="hybridMultilevel"/>
    <w:tmpl w:val="04765E20"/>
    <w:lvl w:ilvl="0" w:tplc="C158ECD4">
      <w:start w:val="1"/>
      <w:numFmt w:val="upperLetter"/>
      <w:lvlText w:val="%1."/>
      <w:lvlJc w:val="left"/>
      <w:pPr>
        <w:ind w:left="99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4022FC8"/>
    <w:multiLevelType w:val="hybridMultilevel"/>
    <w:tmpl w:val="9000B562"/>
    <w:lvl w:ilvl="0" w:tplc="8D6E4BAA">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CD3012"/>
    <w:multiLevelType w:val="hybridMultilevel"/>
    <w:tmpl w:val="6D9452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4"/>
    <w:lvlOverride w:ilvl="0">
      <w:startOverride w:val="1"/>
    </w:lvlOverride>
  </w:num>
  <w:num w:numId="5">
    <w:abstractNumId w:val="6"/>
  </w:num>
  <w:num w:numId="6">
    <w:abstractNumId w:val="4"/>
  </w:num>
  <w:num w:numId="7">
    <w:abstractNumId w:val="3"/>
    <w:lvlOverride w:ilvl="0">
      <w:startOverride w:val="1"/>
    </w:lvlOverride>
    <w:lvlOverride w:ilvl="1">
      <w:startOverride w:val="2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num>
  <w:num w:numId="15">
    <w:abstractNumId w:val="5"/>
  </w:num>
  <w:num w:numId="16">
    <w:abstractNumId w:val="0"/>
  </w:num>
  <w:num w:numId="17">
    <w:abstractNumId w:val="4"/>
    <w:lvlOverride w:ilvl="0">
      <w:startOverride w:val="1"/>
    </w:lvlOverride>
  </w:num>
  <w:num w:numId="18">
    <w:abstractNumId w:val="3"/>
    <w:lvlOverride w:ilvl="0">
      <w:startOverride w:val="1"/>
    </w:lvlOverride>
    <w:lvlOverride w:ilvl="1">
      <w:startOverride w:val="1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num>
  <w:num w:numId="20">
    <w:abstractNumId w:val="4"/>
    <w:lvlOverride w:ilvl="0">
      <w:startOverride w:val="1"/>
    </w:lvlOverride>
  </w:num>
  <w:num w:numId="2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A20"/>
    <w:rsid w:val="00005B4B"/>
    <w:rsid w:val="00010172"/>
    <w:rsid w:val="00013BF5"/>
    <w:rsid w:val="000166B3"/>
    <w:rsid w:val="0003160D"/>
    <w:rsid w:val="00033443"/>
    <w:rsid w:val="00033B20"/>
    <w:rsid w:val="000357FF"/>
    <w:rsid w:val="00040142"/>
    <w:rsid w:val="000420AA"/>
    <w:rsid w:val="00044E30"/>
    <w:rsid w:val="000467F1"/>
    <w:rsid w:val="00057C10"/>
    <w:rsid w:val="00064216"/>
    <w:rsid w:val="00067358"/>
    <w:rsid w:val="00067B68"/>
    <w:rsid w:val="00074762"/>
    <w:rsid w:val="000805D9"/>
    <w:rsid w:val="00086371"/>
    <w:rsid w:val="000875D4"/>
    <w:rsid w:val="00090D4B"/>
    <w:rsid w:val="00095155"/>
    <w:rsid w:val="0009583B"/>
    <w:rsid w:val="000A57A4"/>
    <w:rsid w:val="000B3D8D"/>
    <w:rsid w:val="000B3ED5"/>
    <w:rsid w:val="000C09BE"/>
    <w:rsid w:val="000D08DE"/>
    <w:rsid w:val="000D3DA8"/>
    <w:rsid w:val="000D4702"/>
    <w:rsid w:val="000E0D8C"/>
    <w:rsid w:val="000E14C6"/>
    <w:rsid w:val="000E2C79"/>
    <w:rsid w:val="000F154C"/>
    <w:rsid w:val="000F38F9"/>
    <w:rsid w:val="001005BC"/>
    <w:rsid w:val="00113FF6"/>
    <w:rsid w:val="00114061"/>
    <w:rsid w:val="00114293"/>
    <w:rsid w:val="00116168"/>
    <w:rsid w:val="00120BB7"/>
    <w:rsid w:val="00121F71"/>
    <w:rsid w:val="00122572"/>
    <w:rsid w:val="001257B8"/>
    <w:rsid w:val="00134982"/>
    <w:rsid w:val="001419CF"/>
    <w:rsid w:val="00141BEB"/>
    <w:rsid w:val="00151142"/>
    <w:rsid w:val="00160AF8"/>
    <w:rsid w:val="00160E68"/>
    <w:rsid w:val="00161EA6"/>
    <w:rsid w:val="0016740A"/>
    <w:rsid w:val="00170CCA"/>
    <w:rsid w:val="00170D35"/>
    <w:rsid w:val="00171C2C"/>
    <w:rsid w:val="00173046"/>
    <w:rsid w:val="0019014F"/>
    <w:rsid w:val="0019229E"/>
    <w:rsid w:val="001922FD"/>
    <w:rsid w:val="001A35E9"/>
    <w:rsid w:val="001A4B20"/>
    <w:rsid w:val="001B3A69"/>
    <w:rsid w:val="001B3F7E"/>
    <w:rsid w:val="001C7C1F"/>
    <w:rsid w:val="001D4096"/>
    <w:rsid w:val="001D4972"/>
    <w:rsid w:val="001D55BC"/>
    <w:rsid w:val="001E14ED"/>
    <w:rsid w:val="001E510F"/>
    <w:rsid w:val="001F71B1"/>
    <w:rsid w:val="002016BE"/>
    <w:rsid w:val="002028BD"/>
    <w:rsid w:val="00215A57"/>
    <w:rsid w:val="00216C25"/>
    <w:rsid w:val="002306F9"/>
    <w:rsid w:val="00231E9E"/>
    <w:rsid w:val="0023357B"/>
    <w:rsid w:val="002418E6"/>
    <w:rsid w:val="00252B82"/>
    <w:rsid w:val="00253456"/>
    <w:rsid w:val="002546D1"/>
    <w:rsid w:val="00254B62"/>
    <w:rsid w:val="002635D1"/>
    <w:rsid w:val="0026509A"/>
    <w:rsid w:val="00274DA9"/>
    <w:rsid w:val="00277E98"/>
    <w:rsid w:val="0028008C"/>
    <w:rsid w:val="00285510"/>
    <w:rsid w:val="00290E54"/>
    <w:rsid w:val="00291184"/>
    <w:rsid w:val="002A4C1B"/>
    <w:rsid w:val="002C216C"/>
    <w:rsid w:val="002C416B"/>
    <w:rsid w:val="002C6A0B"/>
    <w:rsid w:val="002D112A"/>
    <w:rsid w:val="002E0A0A"/>
    <w:rsid w:val="002E34CC"/>
    <w:rsid w:val="002E6460"/>
    <w:rsid w:val="002F188B"/>
    <w:rsid w:val="002F4235"/>
    <w:rsid w:val="002F663F"/>
    <w:rsid w:val="002F6A20"/>
    <w:rsid w:val="002F7892"/>
    <w:rsid w:val="00303417"/>
    <w:rsid w:val="00304F2E"/>
    <w:rsid w:val="00313824"/>
    <w:rsid w:val="0031581F"/>
    <w:rsid w:val="00315F02"/>
    <w:rsid w:val="003201A2"/>
    <w:rsid w:val="00320AAD"/>
    <w:rsid w:val="00322ED5"/>
    <w:rsid w:val="0032584E"/>
    <w:rsid w:val="003306CE"/>
    <w:rsid w:val="0033320F"/>
    <w:rsid w:val="00334847"/>
    <w:rsid w:val="00335ADB"/>
    <w:rsid w:val="00336849"/>
    <w:rsid w:val="00343F3E"/>
    <w:rsid w:val="003475C4"/>
    <w:rsid w:val="003512CE"/>
    <w:rsid w:val="003513BF"/>
    <w:rsid w:val="00351E29"/>
    <w:rsid w:val="00353D56"/>
    <w:rsid w:val="00361B5F"/>
    <w:rsid w:val="00361EE7"/>
    <w:rsid w:val="00365B4B"/>
    <w:rsid w:val="00365CE9"/>
    <w:rsid w:val="00373288"/>
    <w:rsid w:val="00374388"/>
    <w:rsid w:val="0037787C"/>
    <w:rsid w:val="00377C0E"/>
    <w:rsid w:val="00380C43"/>
    <w:rsid w:val="0038160C"/>
    <w:rsid w:val="0039116F"/>
    <w:rsid w:val="00394B6A"/>
    <w:rsid w:val="003A413A"/>
    <w:rsid w:val="003A67B6"/>
    <w:rsid w:val="003A78CA"/>
    <w:rsid w:val="003B1545"/>
    <w:rsid w:val="003B44CA"/>
    <w:rsid w:val="003C52F4"/>
    <w:rsid w:val="003D02CD"/>
    <w:rsid w:val="003D4303"/>
    <w:rsid w:val="003D69E5"/>
    <w:rsid w:val="003E260D"/>
    <w:rsid w:val="003E46B6"/>
    <w:rsid w:val="003F210C"/>
    <w:rsid w:val="003F4C17"/>
    <w:rsid w:val="003F4DF9"/>
    <w:rsid w:val="003F4E5F"/>
    <w:rsid w:val="004007B0"/>
    <w:rsid w:val="004014AB"/>
    <w:rsid w:val="0040473E"/>
    <w:rsid w:val="004073E3"/>
    <w:rsid w:val="00424F21"/>
    <w:rsid w:val="00426764"/>
    <w:rsid w:val="00427AC1"/>
    <w:rsid w:val="004332BA"/>
    <w:rsid w:val="00443CF9"/>
    <w:rsid w:val="00446F9E"/>
    <w:rsid w:val="00447CE9"/>
    <w:rsid w:val="00447EEC"/>
    <w:rsid w:val="00451A5F"/>
    <w:rsid w:val="00453688"/>
    <w:rsid w:val="0045538E"/>
    <w:rsid w:val="00460434"/>
    <w:rsid w:val="004742A3"/>
    <w:rsid w:val="0047525A"/>
    <w:rsid w:val="00475A57"/>
    <w:rsid w:val="00482CF6"/>
    <w:rsid w:val="004866E5"/>
    <w:rsid w:val="00491E02"/>
    <w:rsid w:val="0049391F"/>
    <w:rsid w:val="004A0CD9"/>
    <w:rsid w:val="004A15D1"/>
    <w:rsid w:val="004A1E1D"/>
    <w:rsid w:val="004A65DD"/>
    <w:rsid w:val="004C3AF7"/>
    <w:rsid w:val="004C4107"/>
    <w:rsid w:val="004C60D3"/>
    <w:rsid w:val="004C6B2A"/>
    <w:rsid w:val="004C7207"/>
    <w:rsid w:val="004D31C6"/>
    <w:rsid w:val="004D65D4"/>
    <w:rsid w:val="004D786D"/>
    <w:rsid w:val="004E1C92"/>
    <w:rsid w:val="004E574A"/>
    <w:rsid w:val="004F0382"/>
    <w:rsid w:val="004F0A74"/>
    <w:rsid w:val="004F6E80"/>
    <w:rsid w:val="004F7F0A"/>
    <w:rsid w:val="00517863"/>
    <w:rsid w:val="005211FA"/>
    <w:rsid w:val="005264A5"/>
    <w:rsid w:val="00526710"/>
    <w:rsid w:val="0054103F"/>
    <w:rsid w:val="00543015"/>
    <w:rsid w:val="00544782"/>
    <w:rsid w:val="005469D7"/>
    <w:rsid w:val="00546AD9"/>
    <w:rsid w:val="005515F7"/>
    <w:rsid w:val="00553693"/>
    <w:rsid w:val="00555498"/>
    <w:rsid w:val="00557AEE"/>
    <w:rsid w:val="00557EC1"/>
    <w:rsid w:val="00561F8A"/>
    <w:rsid w:val="005626AA"/>
    <w:rsid w:val="00572E46"/>
    <w:rsid w:val="005731F1"/>
    <w:rsid w:val="0057340F"/>
    <w:rsid w:val="00591C21"/>
    <w:rsid w:val="00592DED"/>
    <w:rsid w:val="00593589"/>
    <w:rsid w:val="00595FC9"/>
    <w:rsid w:val="005A3308"/>
    <w:rsid w:val="005A756E"/>
    <w:rsid w:val="005B2185"/>
    <w:rsid w:val="005B48C9"/>
    <w:rsid w:val="005B71FF"/>
    <w:rsid w:val="005B7320"/>
    <w:rsid w:val="005C4BE5"/>
    <w:rsid w:val="005C6B49"/>
    <w:rsid w:val="005D341A"/>
    <w:rsid w:val="005D7C63"/>
    <w:rsid w:val="005D7F8A"/>
    <w:rsid w:val="005E4BF7"/>
    <w:rsid w:val="005E6856"/>
    <w:rsid w:val="005E74A1"/>
    <w:rsid w:val="005F0857"/>
    <w:rsid w:val="005F5C82"/>
    <w:rsid w:val="005F7C77"/>
    <w:rsid w:val="0061154C"/>
    <w:rsid w:val="00616C15"/>
    <w:rsid w:val="0062334D"/>
    <w:rsid w:val="00636C1C"/>
    <w:rsid w:val="00636F31"/>
    <w:rsid w:val="0064715B"/>
    <w:rsid w:val="00660B0B"/>
    <w:rsid w:val="0066482C"/>
    <w:rsid w:val="00671351"/>
    <w:rsid w:val="00671BE4"/>
    <w:rsid w:val="00671E67"/>
    <w:rsid w:val="006833BE"/>
    <w:rsid w:val="006833C8"/>
    <w:rsid w:val="0068482E"/>
    <w:rsid w:val="006942E8"/>
    <w:rsid w:val="006A0412"/>
    <w:rsid w:val="006A0B8D"/>
    <w:rsid w:val="006A1432"/>
    <w:rsid w:val="006A484A"/>
    <w:rsid w:val="006A6F0A"/>
    <w:rsid w:val="006B26D0"/>
    <w:rsid w:val="006B2B5F"/>
    <w:rsid w:val="006B3D0D"/>
    <w:rsid w:val="006B4FEF"/>
    <w:rsid w:val="006C3C1A"/>
    <w:rsid w:val="006C587E"/>
    <w:rsid w:val="006D1B98"/>
    <w:rsid w:val="006D2F87"/>
    <w:rsid w:val="006D3CB5"/>
    <w:rsid w:val="006D7B87"/>
    <w:rsid w:val="006E4EB0"/>
    <w:rsid w:val="0070464A"/>
    <w:rsid w:val="00711DC9"/>
    <w:rsid w:val="00715A3F"/>
    <w:rsid w:val="00724134"/>
    <w:rsid w:val="00724815"/>
    <w:rsid w:val="00725BE6"/>
    <w:rsid w:val="007323B4"/>
    <w:rsid w:val="00737232"/>
    <w:rsid w:val="00740FAC"/>
    <w:rsid w:val="007475FC"/>
    <w:rsid w:val="00760442"/>
    <w:rsid w:val="0076062A"/>
    <w:rsid w:val="00765B3B"/>
    <w:rsid w:val="00772AB1"/>
    <w:rsid w:val="00774C9A"/>
    <w:rsid w:val="007778A2"/>
    <w:rsid w:val="00782DEE"/>
    <w:rsid w:val="007830CC"/>
    <w:rsid w:val="00783F16"/>
    <w:rsid w:val="007859C6"/>
    <w:rsid w:val="00793B6B"/>
    <w:rsid w:val="00794A20"/>
    <w:rsid w:val="0079618D"/>
    <w:rsid w:val="007A1321"/>
    <w:rsid w:val="007A5572"/>
    <w:rsid w:val="007A56E9"/>
    <w:rsid w:val="007B2D27"/>
    <w:rsid w:val="007B3152"/>
    <w:rsid w:val="007B5730"/>
    <w:rsid w:val="007B5757"/>
    <w:rsid w:val="007C2EBE"/>
    <w:rsid w:val="007C3F5D"/>
    <w:rsid w:val="007C596A"/>
    <w:rsid w:val="007C59A1"/>
    <w:rsid w:val="007D0ACE"/>
    <w:rsid w:val="007D270A"/>
    <w:rsid w:val="007E0D32"/>
    <w:rsid w:val="007E19DF"/>
    <w:rsid w:val="007E2E01"/>
    <w:rsid w:val="007F6AFA"/>
    <w:rsid w:val="00800B89"/>
    <w:rsid w:val="00804AB4"/>
    <w:rsid w:val="00810994"/>
    <w:rsid w:val="00812AA6"/>
    <w:rsid w:val="00815FD7"/>
    <w:rsid w:val="00816295"/>
    <w:rsid w:val="00817A97"/>
    <w:rsid w:val="008253B8"/>
    <w:rsid w:val="00834AB0"/>
    <w:rsid w:val="00841099"/>
    <w:rsid w:val="00841A4C"/>
    <w:rsid w:val="008477DC"/>
    <w:rsid w:val="00861D33"/>
    <w:rsid w:val="00870454"/>
    <w:rsid w:val="008738AE"/>
    <w:rsid w:val="00884F3C"/>
    <w:rsid w:val="00891321"/>
    <w:rsid w:val="008976E6"/>
    <w:rsid w:val="008A0634"/>
    <w:rsid w:val="008A5855"/>
    <w:rsid w:val="008A7FDF"/>
    <w:rsid w:val="008B2A3A"/>
    <w:rsid w:val="008B59A1"/>
    <w:rsid w:val="008C1C72"/>
    <w:rsid w:val="008C22CA"/>
    <w:rsid w:val="008C23D3"/>
    <w:rsid w:val="008D05FE"/>
    <w:rsid w:val="008D1F4D"/>
    <w:rsid w:val="008D6B8A"/>
    <w:rsid w:val="008E4110"/>
    <w:rsid w:val="008E4F07"/>
    <w:rsid w:val="008E62F9"/>
    <w:rsid w:val="008F646A"/>
    <w:rsid w:val="00902239"/>
    <w:rsid w:val="0090362A"/>
    <w:rsid w:val="00911B90"/>
    <w:rsid w:val="00914B4F"/>
    <w:rsid w:val="00915F1C"/>
    <w:rsid w:val="0092431D"/>
    <w:rsid w:val="009356C6"/>
    <w:rsid w:val="009376E3"/>
    <w:rsid w:val="00943066"/>
    <w:rsid w:val="00944725"/>
    <w:rsid w:val="00945CCC"/>
    <w:rsid w:val="00952DD1"/>
    <w:rsid w:val="0095771C"/>
    <w:rsid w:val="00957DB4"/>
    <w:rsid w:val="00961B84"/>
    <w:rsid w:val="009628D4"/>
    <w:rsid w:val="00980C97"/>
    <w:rsid w:val="00981AEE"/>
    <w:rsid w:val="009829E7"/>
    <w:rsid w:val="009848AE"/>
    <w:rsid w:val="009849FC"/>
    <w:rsid w:val="00986BAE"/>
    <w:rsid w:val="00990B03"/>
    <w:rsid w:val="009A005C"/>
    <w:rsid w:val="009A082E"/>
    <w:rsid w:val="009A0E8B"/>
    <w:rsid w:val="009A4CDE"/>
    <w:rsid w:val="009B7DC6"/>
    <w:rsid w:val="009C076A"/>
    <w:rsid w:val="009C1B71"/>
    <w:rsid w:val="009C6EE5"/>
    <w:rsid w:val="009C73E8"/>
    <w:rsid w:val="009D13BE"/>
    <w:rsid w:val="009D2B50"/>
    <w:rsid w:val="009D359F"/>
    <w:rsid w:val="009D7E1F"/>
    <w:rsid w:val="009E1381"/>
    <w:rsid w:val="009E3E69"/>
    <w:rsid w:val="009E4416"/>
    <w:rsid w:val="009F1BDC"/>
    <w:rsid w:val="009F419C"/>
    <w:rsid w:val="009F4A0F"/>
    <w:rsid w:val="009F53DE"/>
    <w:rsid w:val="009F567D"/>
    <w:rsid w:val="00A016E1"/>
    <w:rsid w:val="00A01BF2"/>
    <w:rsid w:val="00A137A5"/>
    <w:rsid w:val="00A31FAE"/>
    <w:rsid w:val="00A327C5"/>
    <w:rsid w:val="00A33119"/>
    <w:rsid w:val="00A42A33"/>
    <w:rsid w:val="00A42CD8"/>
    <w:rsid w:val="00A47E5C"/>
    <w:rsid w:val="00A56A8A"/>
    <w:rsid w:val="00A61600"/>
    <w:rsid w:val="00A80125"/>
    <w:rsid w:val="00A801CA"/>
    <w:rsid w:val="00A83E62"/>
    <w:rsid w:val="00A8673A"/>
    <w:rsid w:val="00A87941"/>
    <w:rsid w:val="00AA033E"/>
    <w:rsid w:val="00AA2CA8"/>
    <w:rsid w:val="00AA43A3"/>
    <w:rsid w:val="00AB17F8"/>
    <w:rsid w:val="00AB18DE"/>
    <w:rsid w:val="00AB2743"/>
    <w:rsid w:val="00AB63A6"/>
    <w:rsid w:val="00AC6B65"/>
    <w:rsid w:val="00AC7441"/>
    <w:rsid w:val="00AC7CEB"/>
    <w:rsid w:val="00AD6384"/>
    <w:rsid w:val="00AD66EE"/>
    <w:rsid w:val="00AD6F58"/>
    <w:rsid w:val="00AD78F3"/>
    <w:rsid w:val="00AE03B2"/>
    <w:rsid w:val="00AE194B"/>
    <w:rsid w:val="00AE2EAE"/>
    <w:rsid w:val="00AE32CE"/>
    <w:rsid w:val="00AF1D02"/>
    <w:rsid w:val="00AF3021"/>
    <w:rsid w:val="00AF4A82"/>
    <w:rsid w:val="00AF77EA"/>
    <w:rsid w:val="00B104E1"/>
    <w:rsid w:val="00B10D39"/>
    <w:rsid w:val="00B11504"/>
    <w:rsid w:val="00B13C12"/>
    <w:rsid w:val="00B303BC"/>
    <w:rsid w:val="00B4264E"/>
    <w:rsid w:val="00B60AE0"/>
    <w:rsid w:val="00B65436"/>
    <w:rsid w:val="00B65627"/>
    <w:rsid w:val="00B8126D"/>
    <w:rsid w:val="00B82473"/>
    <w:rsid w:val="00B82D13"/>
    <w:rsid w:val="00B83C2F"/>
    <w:rsid w:val="00B8562A"/>
    <w:rsid w:val="00BA3049"/>
    <w:rsid w:val="00BA7292"/>
    <w:rsid w:val="00BC0AFA"/>
    <w:rsid w:val="00BD1B0E"/>
    <w:rsid w:val="00BD250A"/>
    <w:rsid w:val="00BD42D4"/>
    <w:rsid w:val="00BD790F"/>
    <w:rsid w:val="00BE21A2"/>
    <w:rsid w:val="00BE2A5B"/>
    <w:rsid w:val="00BE5C0C"/>
    <w:rsid w:val="00BF01CD"/>
    <w:rsid w:val="00BF31A6"/>
    <w:rsid w:val="00BF40A5"/>
    <w:rsid w:val="00BF6BAB"/>
    <w:rsid w:val="00C02942"/>
    <w:rsid w:val="00C12A1B"/>
    <w:rsid w:val="00C12F5A"/>
    <w:rsid w:val="00C215CA"/>
    <w:rsid w:val="00C239A7"/>
    <w:rsid w:val="00C246B5"/>
    <w:rsid w:val="00C24785"/>
    <w:rsid w:val="00C2629D"/>
    <w:rsid w:val="00C3380A"/>
    <w:rsid w:val="00C36E7E"/>
    <w:rsid w:val="00C44F7F"/>
    <w:rsid w:val="00C50DA2"/>
    <w:rsid w:val="00C54874"/>
    <w:rsid w:val="00C83282"/>
    <w:rsid w:val="00C83627"/>
    <w:rsid w:val="00C83BB8"/>
    <w:rsid w:val="00C910F5"/>
    <w:rsid w:val="00C9687D"/>
    <w:rsid w:val="00C96A6D"/>
    <w:rsid w:val="00CA02E9"/>
    <w:rsid w:val="00CA1579"/>
    <w:rsid w:val="00CA1E2B"/>
    <w:rsid w:val="00CA475D"/>
    <w:rsid w:val="00CB36AA"/>
    <w:rsid w:val="00CC6C8A"/>
    <w:rsid w:val="00CD07FE"/>
    <w:rsid w:val="00CD0821"/>
    <w:rsid w:val="00CD6602"/>
    <w:rsid w:val="00CE354F"/>
    <w:rsid w:val="00CE6B58"/>
    <w:rsid w:val="00CE7DB4"/>
    <w:rsid w:val="00CF15D4"/>
    <w:rsid w:val="00CF2217"/>
    <w:rsid w:val="00CF7F8D"/>
    <w:rsid w:val="00D0261D"/>
    <w:rsid w:val="00D027B2"/>
    <w:rsid w:val="00D03E9F"/>
    <w:rsid w:val="00D12E5F"/>
    <w:rsid w:val="00D16D99"/>
    <w:rsid w:val="00D25E16"/>
    <w:rsid w:val="00D26005"/>
    <w:rsid w:val="00D2795D"/>
    <w:rsid w:val="00D31EB7"/>
    <w:rsid w:val="00D32290"/>
    <w:rsid w:val="00D33F3C"/>
    <w:rsid w:val="00D37175"/>
    <w:rsid w:val="00D40A68"/>
    <w:rsid w:val="00D43CB9"/>
    <w:rsid w:val="00D461CA"/>
    <w:rsid w:val="00D55827"/>
    <w:rsid w:val="00D5629F"/>
    <w:rsid w:val="00D5753E"/>
    <w:rsid w:val="00D5774E"/>
    <w:rsid w:val="00D57D71"/>
    <w:rsid w:val="00D60321"/>
    <w:rsid w:val="00D61777"/>
    <w:rsid w:val="00D62B78"/>
    <w:rsid w:val="00D6524C"/>
    <w:rsid w:val="00D65B82"/>
    <w:rsid w:val="00D6704F"/>
    <w:rsid w:val="00D711B1"/>
    <w:rsid w:val="00D7398B"/>
    <w:rsid w:val="00D74D88"/>
    <w:rsid w:val="00D755F9"/>
    <w:rsid w:val="00D75A42"/>
    <w:rsid w:val="00D80ECF"/>
    <w:rsid w:val="00D926D0"/>
    <w:rsid w:val="00DA0304"/>
    <w:rsid w:val="00DA2989"/>
    <w:rsid w:val="00DA3B74"/>
    <w:rsid w:val="00DA42EA"/>
    <w:rsid w:val="00DA6166"/>
    <w:rsid w:val="00DA7B26"/>
    <w:rsid w:val="00DB39D6"/>
    <w:rsid w:val="00DB45E0"/>
    <w:rsid w:val="00DB494F"/>
    <w:rsid w:val="00DB57E5"/>
    <w:rsid w:val="00DC41E0"/>
    <w:rsid w:val="00DD56CA"/>
    <w:rsid w:val="00DE1197"/>
    <w:rsid w:val="00DE67C8"/>
    <w:rsid w:val="00E03BDB"/>
    <w:rsid w:val="00E0535C"/>
    <w:rsid w:val="00E058AB"/>
    <w:rsid w:val="00E15497"/>
    <w:rsid w:val="00E15698"/>
    <w:rsid w:val="00E31635"/>
    <w:rsid w:val="00E40DB8"/>
    <w:rsid w:val="00E43ECE"/>
    <w:rsid w:val="00E4512B"/>
    <w:rsid w:val="00E459C8"/>
    <w:rsid w:val="00E45BD3"/>
    <w:rsid w:val="00E56093"/>
    <w:rsid w:val="00E573B8"/>
    <w:rsid w:val="00E57AEB"/>
    <w:rsid w:val="00E602B0"/>
    <w:rsid w:val="00E63EEF"/>
    <w:rsid w:val="00E64E97"/>
    <w:rsid w:val="00E7462B"/>
    <w:rsid w:val="00E829BE"/>
    <w:rsid w:val="00E82BEA"/>
    <w:rsid w:val="00E83772"/>
    <w:rsid w:val="00E8779D"/>
    <w:rsid w:val="00E90832"/>
    <w:rsid w:val="00E96747"/>
    <w:rsid w:val="00EA262D"/>
    <w:rsid w:val="00EA2987"/>
    <w:rsid w:val="00EA3DB7"/>
    <w:rsid w:val="00EA434F"/>
    <w:rsid w:val="00EB181A"/>
    <w:rsid w:val="00EB4A6C"/>
    <w:rsid w:val="00EB7014"/>
    <w:rsid w:val="00EB75A0"/>
    <w:rsid w:val="00EB78AA"/>
    <w:rsid w:val="00EC0107"/>
    <w:rsid w:val="00EC082B"/>
    <w:rsid w:val="00EC120E"/>
    <w:rsid w:val="00EC64A8"/>
    <w:rsid w:val="00ED11FA"/>
    <w:rsid w:val="00ED15EC"/>
    <w:rsid w:val="00EE7529"/>
    <w:rsid w:val="00EF4A06"/>
    <w:rsid w:val="00EF5C00"/>
    <w:rsid w:val="00F02C9E"/>
    <w:rsid w:val="00F03981"/>
    <w:rsid w:val="00F03C63"/>
    <w:rsid w:val="00F06686"/>
    <w:rsid w:val="00F10815"/>
    <w:rsid w:val="00F10DE0"/>
    <w:rsid w:val="00F1749E"/>
    <w:rsid w:val="00F26D16"/>
    <w:rsid w:val="00F3015C"/>
    <w:rsid w:val="00F33825"/>
    <w:rsid w:val="00F34AF2"/>
    <w:rsid w:val="00F354B8"/>
    <w:rsid w:val="00F44AF9"/>
    <w:rsid w:val="00F46321"/>
    <w:rsid w:val="00F61BD6"/>
    <w:rsid w:val="00F65E3C"/>
    <w:rsid w:val="00F668FB"/>
    <w:rsid w:val="00F71937"/>
    <w:rsid w:val="00F73F55"/>
    <w:rsid w:val="00F74363"/>
    <w:rsid w:val="00F80D7B"/>
    <w:rsid w:val="00F823F0"/>
    <w:rsid w:val="00F869DA"/>
    <w:rsid w:val="00F86EB6"/>
    <w:rsid w:val="00F86FF9"/>
    <w:rsid w:val="00F901AA"/>
    <w:rsid w:val="00F93D34"/>
    <w:rsid w:val="00FA0FFE"/>
    <w:rsid w:val="00FA506C"/>
    <w:rsid w:val="00FB39D0"/>
    <w:rsid w:val="00FB7C93"/>
    <w:rsid w:val="00FC1EBC"/>
    <w:rsid w:val="00FC2F05"/>
    <w:rsid w:val="00FC4BF8"/>
    <w:rsid w:val="00FD31C9"/>
    <w:rsid w:val="00FD46D6"/>
    <w:rsid w:val="00FD60A0"/>
    <w:rsid w:val="00FE179F"/>
    <w:rsid w:val="00FE365D"/>
    <w:rsid w:val="00FE4C94"/>
    <w:rsid w:val="00FE7F57"/>
    <w:rsid w:val="00FF2E17"/>
    <w:rsid w:val="00FF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07DD14"/>
  <w15:docId w15:val="{84ACED04-2D15-41B9-A5FC-0D90DCF9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482C"/>
    <w:pPr>
      <w:widowControl w:val="0"/>
      <w:jc w:val="both"/>
    </w:pPr>
    <w:rPr>
      <w:snapToGrid w:val="0"/>
      <w:sz w:val="24"/>
    </w:rPr>
  </w:style>
  <w:style w:type="paragraph" w:styleId="Heading1">
    <w:name w:val="heading 1"/>
    <w:basedOn w:val="Normal"/>
    <w:next w:val="Normal"/>
    <w:qFormat/>
    <w:rsid w:val="008738AE"/>
    <w:pPr>
      <w:keepNext/>
      <w:outlineLvl w:val="0"/>
    </w:pPr>
    <w:rPr>
      <w:b/>
      <w:sz w:val="18"/>
    </w:rPr>
  </w:style>
  <w:style w:type="paragraph" w:styleId="Heading2">
    <w:name w:val="heading 2"/>
    <w:basedOn w:val="Normal"/>
    <w:next w:val="Normal"/>
    <w:qFormat/>
    <w:rsid w:val="008738AE"/>
    <w:pPr>
      <w:keepNext/>
      <w:outlineLvl w:val="1"/>
    </w:pPr>
    <w:rPr>
      <w:b/>
    </w:rPr>
  </w:style>
  <w:style w:type="paragraph" w:styleId="Heading3">
    <w:name w:val="heading 3"/>
    <w:basedOn w:val="Normal"/>
    <w:next w:val="Normal"/>
    <w:qFormat/>
    <w:rsid w:val="008738AE"/>
    <w:pPr>
      <w:keepNext/>
      <w:jc w:val="center"/>
      <w:outlineLvl w:val="2"/>
    </w:pPr>
    <w:rPr>
      <w:rFonts w:ascii="Arial" w:hAnsi="Arial"/>
      <w:b/>
      <w:i/>
      <w:sz w:val="16"/>
    </w:rPr>
  </w:style>
  <w:style w:type="paragraph" w:styleId="Heading4">
    <w:name w:val="heading 4"/>
    <w:basedOn w:val="Normal"/>
    <w:next w:val="Normal"/>
    <w:qFormat/>
    <w:rsid w:val="008738AE"/>
    <w:pPr>
      <w:keepNext/>
      <w:spacing w:after="58" w:line="318" w:lineRule="exact"/>
      <w:jc w:val="center"/>
      <w:outlineLvl w:val="3"/>
    </w:pPr>
    <w:rPr>
      <w:b/>
      <w:i/>
    </w:rPr>
  </w:style>
  <w:style w:type="paragraph" w:styleId="Heading5">
    <w:name w:val="heading 5"/>
    <w:basedOn w:val="Normal"/>
    <w:next w:val="Normal"/>
    <w:qFormat/>
    <w:rsid w:val="008738AE"/>
    <w:pPr>
      <w:keepNext/>
      <w:jc w:val="center"/>
      <w:outlineLvl w:val="4"/>
    </w:pPr>
    <w:rPr>
      <w:b/>
      <w:u w:val="single"/>
    </w:rPr>
  </w:style>
  <w:style w:type="paragraph" w:styleId="Heading6">
    <w:name w:val="heading 6"/>
    <w:basedOn w:val="Normal"/>
    <w:next w:val="Normal"/>
    <w:qFormat/>
    <w:rsid w:val="008738AE"/>
    <w:pPr>
      <w:keepNext/>
      <w:outlineLvl w:val="5"/>
    </w:pPr>
    <w:rPr>
      <w:b/>
      <w:u w:val="single"/>
    </w:rPr>
  </w:style>
  <w:style w:type="paragraph" w:styleId="Heading7">
    <w:name w:val="heading 7"/>
    <w:basedOn w:val="Normal"/>
    <w:next w:val="Normal"/>
    <w:qFormat/>
    <w:rsid w:val="008738AE"/>
    <w:pPr>
      <w:keepNext/>
      <w:outlineLvl w:val="6"/>
    </w:pPr>
    <w:rPr>
      <w:u w:val="single"/>
    </w:rPr>
  </w:style>
  <w:style w:type="paragraph" w:styleId="Heading8">
    <w:name w:val="heading 8"/>
    <w:basedOn w:val="Normal"/>
    <w:next w:val="Normal"/>
    <w:qFormat/>
    <w:rsid w:val="008738AE"/>
    <w:pPr>
      <w:keepNext/>
      <w:spacing w:line="318" w:lineRule="exact"/>
      <w:ind w:left="330" w:hanging="330"/>
      <w:jc w:val="center"/>
      <w:outlineLvl w:val="7"/>
    </w:pPr>
    <w:rPr>
      <w:b/>
      <w:bCs/>
    </w:rPr>
  </w:style>
  <w:style w:type="paragraph" w:styleId="Heading9">
    <w:name w:val="heading 9"/>
    <w:basedOn w:val="Normal"/>
    <w:next w:val="Normal"/>
    <w:qFormat/>
    <w:rsid w:val="008738AE"/>
    <w:pPr>
      <w:keepNext/>
      <w:ind w:left="-120"/>
      <w:jc w:val="center"/>
      <w:outlineLvl w:val="8"/>
    </w:pPr>
    <w:rPr>
      <w:rFonts w:ascii="Arial" w:hAnsi="Arial"/>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738AE"/>
  </w:style>
  <w:style w:type="paragraph" w:styleId="Header">
    <w:name w:val="header"/>
    <w:basedOn w:val="Normal"/>
    <w:link w:val="HeaderChar"/>
    <w:uiPriority w:val="99"/>
    <w:rsid w:val="008738AE"/>
    <w:pPr>
      <w:tabs>
        <w:tab w:val="center" w:pos="4320"/>
        <w:tab w:val="right" w:pos="8640"/>
      </w:tabs>
    </w:pPr>
  </w:style>
  <w:style w:type="paragraph" w:styleId="Footer">
    <w:name w:val="footer"/>
    <w:basedOn w:val="Normal"/>
    <w:rsid w:val="008738AE"/>
    <w:pPr>
      <w:tabs>
        <w:tab w:val="center" w:pos="4320"/>
        <w:tab w:val="right" w:pos="8640"/>
      </w:tabs>
    </w:pPr>
  </w:style>
  <w:style w:type="character" w:styleId="CommentReference">
    <w:name w:val="annotation reference"/>
    <w:basedOn w:val="DefaultParagraphFont"/>
    <w:semiHidden/>
    <w:rsid w:val="008738AE"/>
    <w:rPr>
      <w:sz w:val="16"/>
      <w:szCs w:val="16"/>
    </w:rPr>
  </w:style>
  <w:style w:type="paragraph" w:styleId="CommentText">
    <w:name w:val="annotation text"/>
    <w:basedOn w:val="Normal"/>
    <w:link w:val="CommentTextChar"/>
    <w:uiPriority w:val="99"/>
    <w:semiHidden/>
    <w:rsid w:val="008738AE"/>
    <w:rPr>
      <w:sz w:val="20"/>
    </w:rPr>
  </w:style>
  <w:style w:type="paragraph" w:styleId="BodyText">
    <w:name w:val="Body Text"/>
    <w:basedOn w:val="Normal"/>
    <w:rsid w:val="008738AE"/>
    <w:rPr>
      <w:b/>
      <w:bCs/>
    </w:rPr>
  </w:style>
  <w:style w:type="paragraph" w:styleId="BodyTextIndent">
    <w:name w:val="Body Text Indent"/>
    <w:basedOn w:val="Normal"/>
    <w:rsid w:val="008738AE"/>
    <w:pPr>
      <w:widowControl/>
      <w:ind w:left="720"/>
    </w:pPr>
  </w:style>
  <w:style w:type="paragraph" w:styleId="BodyTextIndent2">
    <w:name w:val="Body Text Indent 2"/>
    <w:basedOn w:val="Normal"/>
    <w:rsid w:val="008738AE"/>
    <w:pPr>
      <w:widowControl/>
      <w:ind w:left="2160"/>
      <w:jc w:val="left"/>
    </w:pPr>
  </w:style>
  <w:style w:type="paragraph" w:styleId="BalloonText">
    <w:name w:val="Balloon Text"/>
    <w:basedOn w:val="Normal"/>
    <w:semiHidden/>
    <w:rsid w:val="000B3D8D"/>
    <w:rPr>
      <w:rFonts w:ascii="Tahoma" w:hAnsi="Tahoma" w:cs="Tahoma"/>
      <w:sz w:val="16"/>
      <w:szCs w:val="16"/>
    </w:rPr>
  </w:style>
  <w:style w:type="paragraph" w:customStyle="1" w:styleId="ConditionIndent">
    <w:name w:val="Condition Indent"/>
    <w:basedOn w:val="Normal"/>
    <w:rsid w:val="00BE21A2"/>
    <w:pPr>
      <w:widowControl/>
      <w:numPr>
        <w:numId w:val="1"/>
      </w:numPr>
      <w:tabs>
        <w:tab w:val="left" w:pos="-1440"/>
      </w:tabs>
      <w:snapToGrid w:val="0"/>
      <w:spacing w:before="240"/>
    </w:pPr>
  </w:style>
  <w:style w:type="character" w:styleId="Hyperlink">
    <w:name w:val="Hyperlink"/>
    <w:basedOn w:val="DefaultParagraphFont"/>
    <w:uiPriority w:val="99"/>
    <w:rsid w:val="00BE21A2"/>
    <w:rPr>
      <w:color w:val="0000FF"/>
      <w:u w:val="single"/>
    </w:rPr>
  </w:style>
  <w:style w:type="paragraph" w:customStyle="1" w:styleId="AQBTableTitle">
    <w:name w:val="AQB Table Title"/>
    <w:link w:val="AQBTableTitleChar"/>
    <w:rsid w:val="006C587E"/>
    <w:pPr>
      <w:keepNext/>
      <w:spacing w:beforeLines="100"/>
      <w:ind w:leftChars="900" w:left="900"/>
    </w:pPr>
    <w:rPr>
      <w:b/>
      <w:snapToGrid w:val="0"/>
      <w:sz w:val="24"/>
    </w:rPr>
  </w:style>
  <w:style w:type="character" w:customStyle="1" w:styleId="AQBTableTitleChar">
    <w:name w:val="AQB Table Title Char"/>
    <w:basedOn w:val="DefaultParagraphFont"/>
    <w:link w:val="AQBTableTitle"/>
    <w:rsid w:val="006C587E"/>
    <w:rPr>
      <w:b/>
      <w:snapToGrid w:val="0"/>
      <w:sz w:val="24"/>
      <w:lang w:val="en-US" w:eastAsia="en-US" w:bidi="ar-SA"/>
    </w:rPr>
  </w:style>
  <w:style w:type="paragraph" w:customStyle="1" w:styleId="AQBCLvl-1">
    <w:name w:val="AQBC Lvl-1"/>
    <w:link w:val="AQBCLvl-1Char"/>
    <w:qFormat/>
    <w:rsid w:val="00E56093"/>
    <w:pPr>
      <w:numPr>
        <w:numId w:val="14"/>
      </w:numPr>
      <w:spacing w:beforeLines="100"/>
      <w:jc w:val="both"/>
    </w:pPr>
    <w:rPr>
      <w:sz w:val="24"/>
    </w:rPr>
  </w:style>
  <w:style w:type="character" w:customStyle="1" w:styleId="AQBCLvl-1Char">
    <w:name w:val="AQBC Lvl-1 Char"/>
    <w:basedOn w:val="DefaultParagraphFont"/>
    <w:link w:val="AQBCLvl-1"/>
    <w:rsid w:val="00E56093"/>
    <w:rPr>
      <w:sz w:val="24"/>
    </w:rPr>
  </w:style>
  <w:style w:type="paragraph" w:customStyle="1" w:styleId="AQBCLvl-2">
    <w:name w:val="AQBC Lvl-2"/>
    <w:link w:val="AQBCLvl-2Char"/>
    <w:qFormat/>
    <w:rsid w:val="004F7F0A"/>
    <w:pPr>
      <w:numPr>
        <w:ilvl w:val="1"/>
        <w:numId w:val="2"/>
      </w:numPr>
      <w:spacing w:beforeLines="50"/>
      <w:jc w:val="both"/>
    </w:pPr>
    <w:rPr>
      <w:snapToGrid w:val="0"/>
      <w:sz w:val="24"/>
    </w:rPr>
  </w:style>
  <w:style w:type="paragraph" w:customStyle="1" w:styleId="AQBCLvl-3">
    <w:name w:val="AQBC Lvl-3"/>
    <w:basedOn w:val="AQBCLvl-2"/>
    <w:link w:val="AQBCLvl-3Char"/>
    <w:qFormat/>
    <w:rsid w:val="004F7F0A"/>
    <w:pPr>
      <w:numPr>
        <w:ilvl w:val="2"/>
      </w:numPr>
    </w:pPr>
  </w:style>
  <w:style w:type="paragraph" w:customStyle="1" w:styleId="AQBCLvl-4">
    <w:name w:val="AQBC Lvl-4"/>
    <w:basedOn w:val="AQBCLvl-3"/>
    <w:link w:val="AQBCLvl-4Char"/>
    <w:qFormat/>
    <w:rsid w:val="004F7F0A"/>
    <w:pPr>
      <w:numPr>
        <w:ilvl w:val="3"/>
      </w:numPr>
      <w:tabs>
        <w:tab w:val="left" w:pos="2340"/>
      </w:tabs>
    </w:pPr>
  </w:style>
  <w:style w:type="paragraph" w:customStyle="1" w:styleId="AQBHFreeStyle">
    <w:name w:val="AQBH Free Style"/>
    <w:basedOn w:val="Heading1"/>
    <w:uiPriority w:val="1"/>
    <w:qFormat/>
    <w:rsid w:val="004F7F0A"/>
    <w:pPr>
      <w:spacing w:before="480" w:after="240"/>
    </w:pPr>
    <w:rPr>
      <w:rFonts w:ascii="Times New Roman Bold" w:hAnsi="Times New Roman Bold"/>
      <w:smallCaps/>
      <w:sz w:val="24"/>
      <w:u w:val="single"/>
    </w:rPr>
  </w:style>
  <w:style w:type="paragraph" w:customStyle="1" w:styleId="AQBLvl-2Condition">
    <w:name w:val="AQB Lvl-2 Condition"/>
    <w:rsid w:val="00FA506C"/>
    <w:pPr>
      <w:tabs>
        <w:tab w:val="num" w:pos="1440"/>
      </w:tabs>
      <w:spacing w:beforeLines="50"/>
      <w:ind w:left="1440" w:hanging="360"/>
      <w:jc w:val="both"/>
    </w:pPr>
    <w:rPr>
      <w:snapToGrid w:val="0"/>
      <w:sz w:val="24"/>
    </w:rPr>
  </w:style>
  <w:style w:type="character" w:customStyle="1" w:styleId="AQBCLvl-2Char">
    <w:name w:val="AQBC Lvl-2 Char"/>
    <w:basedOn w:val="DefaultParagraphFont"/>
    <w:link w:val="AQBCLvl-2"/>
    <w:rsid w:val="00FA506C"/>
    <w:rPr>
      <w:snapToGrid w:val="0"/>
      <w:sz w:val="24"/>
    </w:rPr>
  </w:style>
  <w:style w:type="paragraph" w:customStyle="1" w:styleId="AQBTCondition">
    <w:name w:val="AQBT Condition"/>
    <w:basedOn w:val="Normal"/>
    <w:rsid w:val="00460434"/>
  </w:style>
  <w:style w:type="character" w:customStyle="1" w:styleId="AQBDirections">
    <w:name w:val="AQB Directions"/>
    <w:basedOn w:val="DefaultParagraphFont"/>
    <w:uiPriority w:val="3"/>
    <w:qFormat/>
    <w:rsid w:val="004F7F0A"/>
    <w:rPr>
      <w:b/>
      <w:color w:val="FF0000"/>
    </w:rPr>
  </w:style>
  <w:style w:type="character" w:customStyle="1" w:styleId="AQBReferance">
    <w:name w:val="AQB Referance"/>
    <w:basedOn w:val="DefaultParagraphFont"/>
    <w:uiPriority w:val="3"/>
    <w:qFormat/>
    <w:rsid w:val="004F7F0A"/>
    <w:rPr>
      <w:color w:val="0000FF"/>
    </w:rPr>
  </w:style>
  <w:style w:type="table" w:styleId="TableGrid">
    <w:name w:val="Table Grid"/>
    <w:basedOn w:val="TableNormal"/>
    <w:rsid w:val="004604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B4A6C"/>
  </w:style>
  <w:style w:type="paragraph" w:customStyle="1" w:styleId="AQBHSection1000">
    <w:name w:val="AQBH Section 100"/>
    <w:basedOn w:val="Heading2"/>
    <w:uiPriority w:val="1"/>
    <w:qFormat/>
    <w:rsid w:val="004F7F0A"/>
    <w:pPr>
      <w:numPr>
        <w:ilvl w:val="1"/>
        <w:numId w:val="3"/>
      </w:numPr>
      <w:spacing w:before="360"/>
    </w:pPr>
    <w:rPr>
      <w:u w:val="single"/>
    </w:rPr>
  </w:style>
  <w:style w:type="paragraph" w:customStyle="1" w:styleId="AQBHPart">
    <w:name w:val="AQBH Part"/>
    <w:basedOn w:val="Heading1"/>
    <w:next w:val="Normal"/>
    <w:uiPriority w:val="1"/>
    <w:qFormat/>
    <w:rsid w:val="004F7F0A"/>
    <w:pPr>
      <w:numPr>
        <w:numId w:val="3"/>
      </w:numPr>
      <w:tabs>
        <w:tab w:val="left" w:pos="1200"/>
        <w:tab w:val="right" w:leader="dot" w:pos="9350"/>
      </w:tabs>
      <w:spacing w:before="480" w:after="240"/>
    </w:pPr>
    <w:rPr>
      <w:rFonts w:ascii="Times New Roman Bold" w:hAnsi="Times New Roman Bold"/>
      <w:bCs/>
      <w:caps/>
      <w:sz w:val="24"/>
      <w:u w:val="single"/>
    </w:rPr>
  </w:style>
  <w:style w:type="paragraph" w:customStyle="1" w:styleId="AQBBLvl-1">
    <w:name w:val="AQBB Lvl-1"/>
    <w:basedOn w:val="Normal"/>
    <w:rsid w:val="004F7F0A"/>
  </w:style>
  <w:style w:type="paragraph" w:customStyle="1" w:styleId="AQBTFootnote">
    <w:name w:val="AQBT Footnote"/>
    <w:basedOn w:val="Normal"/>
    <w:uiPriority w:val="2"/>
    <w:qFormat/>
    <w:rsid w:val="004F7F0A"/>
    <w:pPr>
      <w:widowControl/>
      <w:tabs>
        <w:tab w:val="left" w:pos="360"/>
      </w:tabs>
      <w:ind w:left="360" w:hanging="360"/>
    </w:pPr>
    <w:rPr>
      <w:sz w:val="20"/>
    </w:rPr>
  </w:style>
  <w:style w:type="paragraph" w:customStyle="1" w:styleId="AQBTTitle">
    <w:name w:val="AQBT Title"/>
    <w:link w:val="AQBTTitleChar"/>
    <w:uiPriority w:val="2"/>
    <w:qFormat/>
    <w:rsid w:val="004F7F0A"/>
    <w:pPr>
      <w:keepNext/>
      <w:spacing w:beforeLines="100"/>
    </w:pPr>
    <w:rPr>
      <w:b/>
      <w:snapToGrid w:val="0"/>
      <w:sz w:val="24"/>
    </w:rPr>
  </w:style>
  <w:style w:type="paragraph" w:styleId="TOCHeading">
    <w:name w:val="TOC Heading"/>
    <w:basedOn w:val="Heading1"/>
    <w:next w:val="Normal"/>
    <w:uiPriority w:val="39"/>
    <w:semiHidden/>
    <w:unhideWhenUsed/>
    <w:qFormat/>
    <w:rsid w:val="00AE194B"/>
    <w:pPr>
      <w:keepLines/>
      <w:widowControl/>
      <w:spacing w:before="480" w:line="276" w:lineRule="auto"/>
      <w:jc w:val="left"/>
      <w:outlineLvl w:val="9"/>
    </w:pPr>
    <w:rPr>
      <w:rFonts w:asciiTheme="majorHAnsi" w:eastAsiaTheme="majorEastAsia" w:hAnsiTheme="majorHAnsi" w:cstheme="majorBidi"/>
      <w:bCs/>
      <w:snapToGrid/>
      <w:color w:val="365F91" w:themeColor="accent1" w:themeShade="BF"/>
      <w:sz w:val="28"/>
      <w:szCs w:val="28"/>
    </w:rPr>
  </w:style>
  <w:style w:type="paragraph" w:styleId="TOC1">
    <w:name w:val="toc 1"/>
    <w:basedOn w:val="Normal"/>
    <w:next w:val="Normal"/>
    <w:autoRedefine/>
    <w:uiPriority w:val="39"/>
    <w:rsid w:val="00336849"/>
    <w:pPr>
      <w:tabs>
        <w:tab w:val="left" w:pos="880"/>
        <w:tab w:val="right" w:leader="dot" w:pos="9350"/>
      </w:tabs>
    </w:pPr>
  </w:style>
  <w:style w:type="paragraph" w:styleId="TOC2">
    <w:name w:val="toc 2"/>
    <w:basedOn w:val="Normal"/>
    <w:next w:val="Normal"/>
    <w:autoRedefine/>
    <w:uiPriority w:val="39"/>
    <w:rsid w:val="00F869DA"/>
    <w:pPr>
      <w:ind w:left="245"/>
    </w:pPr>
  </w:style>
  <w:style w:type="character" w:styleId="FollowedHyperlink">
    <w:name w:val="FollowedHyperlink"/>
    <w:basedOn w:val="DefaultParagraphFont"/>
    <w:rsid w:val="004C3AF7"/>
    <w:rPr>
      <w:color w:val="800080" w:themeColor="followedHyperlink"/>
      <w:u w:val="single"/>
    </w:rPr>
  </w:style>
  <w:style w:type="paragraph" w:customStyle="1" w:styleId="AQBCLvl-1Paragraph">
    <w:name w:val="AQBC Lvl-1 Paragraph"/>
    <w:link w:val="AQBCLvl-1ParagraphCharChar"/>
    <w:qFormat/>
    <w:rsid w:val="00E31635"/>
    <w:pPr>
      <w:spacing w:beforeLines="100"/>
      <w:ind w:left="1080"/>
      <w:jc w:val="both"/>
    </w:pPr>
    <w:rPr>
      <w:snapToGrid w:val="0"/>
      <w:sz w:val="24"/>
    </w:rPr>
  </w:style>
  <w:style w:type="character" w:customStyle="1" w:styleId="AQBCLvl-1ParagraphCharChar">
    <w:name w:val="AQBC Lvl-1 Paragraph Char Char"/>
    <w:basedOn w:val="DefaultParagraphFont"/>
    <w:link w:val="AQBCLvl-1Paragraph"/>
    <w:rsid w:val="00E31635"/>
    <w:rPr>
      <w:snapToGrid w:val="0"/>
      <w:sz w:val="24"/>
    </w:rPr>
  </w:style>
  <w:style w:type="character" w:customStyle="1" w:styleId="AQBTTitleChar">
    <w:name w:val="AQBT Title Char"/>
    <w:basedOn w:val="DefaultParagraphFont"/>
    <w:link w:val="AQBTTitle"/>
    <w:uiPriority w:val="2"/>
    <w:rsid w:val="00E31635"/>
    <w:rPr>
      <w:b/>
      <w:snapToGrid w:val="0"/>
      <w:sz w:val="24"/>
    </w:rPr>
  </w:style>
  <w:style w:type="character" w:customStyle="1" w:styleId="HeaderChar">
    <w:name w:val="Header Char"/>
    <w:basedOn w:val="DefaultParagraphFont"/>
    <w:link w:val="Header"/>
    <w:uiPriority w:val="99"/>
    <w:rsid w:val="00E96747"/>
    <w:rPr>
      <w:snapToGrid w:val="0"/>
      <w:sz w:val="24"/>
    </w:rPr>
  </w:style>
  <w:style w:type="paragraph" w:customStyle="1" w:styleId="aqbhsection100">
    <w:name w:val="aqbhsection100"/>
    <w:basedOn w:val="Normal"/>
    <w:rsid w:val="005211FA"/>
    <w:pPr>
      <w:keepNext/>
      <w:widowControl/>
      <w:numPr>
        <w:ilvl w:val="1"/>
        <w:numId w:val="8"/>
      </w:numPr>
      <w:snapToGrid w:val="0"/>
      <w:spacing w:before="360"/>
    </w:pPr>
    <w:rPr>
      <w:b/>
      <w:bCs/>
      <w:snapToGrid/>
      <w:szCs w:val="24"/>
      <w:u w:val="single"/>
    </w:rPr>
  </w:style>
  <w:style w:type="numbering" w:styleId="111111">
    <w:name w:val="Outline List 2"/>
    <w:basedOn w:val="NoList"/>
    <w:uiPriority w:val="99"/>
    <w:unhideWhenUsed/>
    <w:rsid w:val="005211FA"/>
    <w:pPr>
      <w:numPr>
        <w:numId w:val="8"/>
      </w:numPr>
    </w:pPr>
  </w:style>
  <w:style w:type="paragraph" w:customStyle="1" w:styleId="Header5">
    <w:name w:val="Header 5"/>
    <w:basedOn w:val="Heading5"/>
    <w:rsid w:val="002F4235"/>
    <w:pPr>
      <w:tabs>
        <w:tab w:val="center" w:pos="1200"/>
      </w:tabs>
      <w:jc w:val="left"/>
    </w:pPr>
    <w:rPr>
      <w:rFonts w:ascii="Arial" w:hAnsi="Arial"/>
      <w:i/>
      <w:snapToGrid/>
      <w:sz w:val="16"/>
      <w:u w:val="none"/>
    </w:rPr>
  </w:style>
  <w:style w:type="character" w:customStyle="1" w:styleId="AQBCLvl-3Char">
    <w:name w:val="AQBC Lvl-3 Char"/>
    <w:basedOn w:val="AQBCLvl-2Char"/>
    <w:link w:val="AQBCLvl-3"/>
    <w:locked/>
    <w:rsid w:val="00277E98"/>
    <w:rPr>
      <w:snapToGrid w:val="0"/>
      <w:sz w:val="24"/>
    </w:rPr>
  </w:style>
  <w:style w:type="character" w:customStyle="1" w:styleId="AQBCLvl-4Char">
    <w:name w:val="AQBC Lvl-4 Char"/>
    <w:basedOn w:val="AQBCLvl-3Char"/>
    <w:link w:val="AQBCLvl-4"/>
    <w:locked/>
    <w:rsid w:val="00277E98"/>
    <w:rPr>
      <w:snapToGrid w:val="0"/>
      <w:sz w:val="24"/>
    </w:rPr>
  </w:style>
  <w:style w:type="paragraph" w:customStyle="1" w:styleId="Default">
    <w:name w:val="Default"/>
    <w:rsid w:val="00CA1579"/>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F73F55"/>
    <w:rPr>
      <w:b/>
      <w:bCs/>
    </w:rPr>
  </w:style>
  <w:style w:type="character" w:customStyle="1" w:styleId="CommentTextChar">
    <w:name w:val="Comment Text Char"/>
    <w:basedOn w:val="DefaultParagraphFont"/>
    <w:link w:val="CommentText"/>
    <w:uiPriority w:val="99"/>
    <w:semiHidden/>
    <w:rsid w:val="00F73F55"/>
    <w:rPr>
      <w:snapToGrid w:val="0"/>
    </w:rPr>
  </w:style>
  <w:style w:type="character" w:customStyle="1" w:styleId="CommentSubjectChar">
    <w:name w:val="Comment Subject Char"/>
    <w:basedOn w:val="CommentTextChar"/>
    <w:link w:val="CommentSubject"/>
    <w:rsid w:val="00F73F55"/>
    <w:rPr>
      <w:b/>
      <w:bCs/>
      <w:snapToGrid w:val="0"/>
    </w:rPr>
  </w:style>
  <w:style w:type="character" w:customStyle="1" w:styleId="AQBCLvl-1CharChar">
    <w:name w:val="AQBC Lvl-1 Char Char"/>
    <w:locked/>
    <w:rsid w:val="00482CF6"/>
    <w:rPr>
      <w:rFonts w:ascii="Times New Roman" w:hAnsi="Times New Roman"/>
      <w:sz w:val="20"/>
    </w:rPr>
  </w:style>
  <w:style w:type="paragraph" w:customStyle="1" w:styleId="AQBLvl-1Condition">
    <w:name w:val="AQB Lvl-1 Condition"/>
    <w:link w:val="AQBLvl-1ConditionCharChar1"/>
    <w:rsid w:val="00482CF6"/>
    <w:pPr>
      <w:tabs>
        <w:tab w:val="num" w:pos="936"/>
      </w:tabs>
      <w:spacing w:beforeLines="100"/>
      <w:ind w:left="936" w:hanging="576"/>
      <w:jc w:val="both"/>
    </w:pPr>
    <w:rPr>
      <w:sz w:val="24"/>
    </w:rPr>
  </w:style>
  <w:style w:type="character" w:customStyle="1" w:styleId="AQBLvl-1ConditionCharChar1">
    <w:name w:val="AQB Lvl-1 Condition Char Char1"/>
    <w:link w:val="AQBLvl-1Condition"/>
    <w:locked/>
    <w:rsid w:val="00482CF6"/>
    <w:rPr>
      <w:sz w:val="24"/>
    </w:rPr>
  </w:style>
  <w:style w:type="paragraph" w:styleId="BodyTextIndent3">
    <w:name w:val="Body Text Indent 3"/>
    <w:basedOn w:val="Normal"/>
    <w:link w:val="BodyTextIndent3Char"/>
    <w:uiPriority w:val="99"/>
    <w:rsid w:val="00482CF6"/>
    <w:pPr>
      <w:spacing w:after="120"/>
      <w:ind w:left="360"/>
    </w:pPr>
    <w:rPr>
      <w:snapToGrid/>
      <w:sz w:val="16"/>
      <w:szCs w:val="16"/>
    </w:rPr>
  </w:style>
  <w:style w:type="character" w:customStyle="1" w:styleId="BodyTextIndent3Char">
    <w:name w:val="Body Text Indent 3 Char"/>
    <w:basedOn w:val="DefaultParagraphFont"/>
    <w:link w:val="BodyTextIndent3"/>
    <w:uiPriority w:val="99"/>
    <w:rsid w:val="00482CF6"/>
    <w:rPr>
      <w:sz w:val="16"/>
      <w:szCs w:val="16"/>
    </w:rPr>
  </w:style>
  <w:style w:type="paragraph" w:styleId="Title">
    <w:name w:val="Title"/>
    <w:basedOn w:val="Normal"/>
    <w:link w:val="TitleChar"/>
    <w:uiPriority w:val="99"/>
    <w:qFormat/>
    <w:rsid w:val="00482CF6"/>
    <w:pPr>
      <w:autoSpaceDE w:val="0"/>
      <w:autoSpaceDN w:val="0"/>
      <w:adjustRightInd w:val="0"/>
      <w:jc w:val="center"/>
    </w:pPr>
    <w:rPr>
      <w:rFonts w:eastAsia="MS Mincho"/>
      <w:b/>
      <w:bCs/>
      <w:snapToGrid/>
      <w:szCs w:val="24"/>
      <w:u w:val="single"/>
    </w:rPr>
  </w:style>
  <w:style w:type="character" w:customStyle="1" w:styleId="TitleChar">
    <w:name w:val="Title Char"/>
    <w:basedOn w:val="DefaultParagraphFont"/>
    <w:link w:val="Title"/>
    <w:uiPriority w:val="99"/>
    <w:rsid w:val="00482CF6"/>
    <w:rPr>
      <w:rFonts w:eastAsia="MS Mincho"/>
      <w:b/>
      <w:bCs/>
      <w:sz w:val="24"/>
      <w:szCs w:val="24"/>
      <w:u w:val="single"/>
    </w:rPr>
  </w:style>
  <w:style w:type="paragraph" w:customStyle="1" w:styleId="AQBLvl-4Condition">
    <w:name w:val="AQB Lvl-4 Condition"/>
    <w:basedOn w:val="Normal"/>
    <w:rsid w:val="00482CF6"/>
    <w:pPr>
      <w:widowControl/>
      <w:tabs>
        <w:tab w:val="left" w:pos="2340"/>
        <w:tab w:val="num" w:pos="2880"/>
      </w:tabs>
      <w:spacing w:beforeLines="50"/>
      <w:ind w:left="2880" w:hanging="360"/>
    </w:pPr>
    <w:rPr>
      <w:snapToGrid/>
    </w:rPr>
  </w:style>
  <w:style w:type="paragraph" w:customStyle="1" w:styleId="AQBLvl-3Condition">
    <w:name w:val="AQB Lvl-3 Condition"/>
    <w:basedOn w:val="AQBLvl-2Condition"/>
    <w:rsid w:val="00E57AEB"/>
    <w:pPr>
      <w:tabs>
        <w:tab w:val="clear" w:pos="1440"/>
        <w:tab w:val="num" w:pos="2160"/>
      </w:tabs>
      <w:ind w:left="2160" w:hanging="720"/>
    </w:pPr>
  </w:style>
  <w:style w:type="paragraph" w:styleId="ListParagraph">
    <w:name w:val="List Paragraph"/>
    <w:basedOn w:val="Normal"/>
    <w:uiPriority w:val="34"/>
    <w:qFormat/>
    <w:rsid w:val="009849FC"/>
    <w:pPr>
      <w:ind w:left="720"/>
      <w:contextualSpacing/>
    </w:pPr>
  </w:style>
  <w:style w:type="character" w:styleId="UnresolvedMention">
    <w:name w:val="Unresolved Mention"/>
    <w:basedOn w:val="DefaultParagraphFont"/>
    <w:uiPriority w:val="99"/>
    <w:semiHidden/>
    <w:unhideWhenUsed/>
    <w:rsid w:val="008913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62645">
      <w:bodyDiv w:val="1"/>
      <w:marLeft w:val="0"/>
      <w:marRight w:val="0"/>
      <w:marTop w:val="0"/>
      <w:marBottom w:val="0"/>
      <w:divBdr>
        <w:top w:val="none" w:sz="0" w:space="0" w:color="auto"/>
        <w:left w:val="none" w:sz="0" w:space="0" w:color="auto"/>
        <w:bottom w:val="none" w:sz="0" w:space="0" w:color="auto"/>
        <w:right w:val="none" w:sz="0" w:space="0" w:color="auto"/>
      </w:divBdr>
    </w:div>
    <w:div w:id="16350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lizabeth.kuehn@state.nm.u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6D93F-3338-4693-A711-2A22E42B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Revised:  August 23, 1999</vt:lpstr>
    </vt:vector>
  </TitlesOfParts>
  <Company>NMED/Air Quality Bureau</Company>
  <LinksUpToDate>false</LinksUpToDate>
  <CharactersWithSpaces>3815</CharactersWithSpaces>
  <SharedDoc>false</SharedDoc>
  <HLinks>
    <vt:vector size="12" baseType="variant">
      <vt:variant>
        <vt:i4>3342455</vt:i4>
      </vt:variant>
      <vt:variant>
        <vt:i4>3</vt:i4>
      </vt:variant>
      <vt:variant>
        <vt:i4>0</vt:i4>
      </vt:variant>
      <vt:variant>
        <vt:i4>5</vt:i4>
      </vt:variant>
      <vt:variant>
        <vt:lpwstr>../Local Settings/NSR-TV-Common/Permitting-Guidance-Documents/SSM - 20.2.7 NMAC</vt:lpwstr>
      </vt:variant>
      <vt:variant>
        <vt:lpwstr/>
      </vt:variant>
      <vt:variant>
        <vt:i4>655454</vt:i4>
      </vt:variant>
      <vt:variant>
        <vt:i4>0</vt:i4>
      </vt:variant>
      <vt:variant>
        <vt:i4>0</vt:i4>
      </vt:variant>
      <vt:variant>
        <vt:i4>5</vt:i4>
      </vt:variant>
      <vt:variant>
        <vt:lpwstr>http://www.almanac.com/rise/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August 23, 1999</dc:title>
  <dc:creator>Jonathan Becknell</dc:creator>
  <cp:lastModifiedBy>Ted Schooley</cp:lastModifiedBy>
  <cp:revision>2</cp:revision>
  <cp:lastPrinted>2017-02-01T20:56:00Z</cp:lastPrinted>
  <dcterms:created xsi:type="dcterms:W3CDTF">2018-10-12T15:52:00Z</dcterms:created>
  <dcterms:modified xsi:type="dcterms:W3CDTF">2018-10-12T15:52:00Z</dcterms:modified>
</cp:coreProperties>
</file>