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576" w:rsidRDefault="00016576" w:rsidP="00016576">
      <w:pPr>
        <w:pStyle w:val="NoSpacing"/>
      </w:pPr>
      <w:r w:rsidRPr="00016576">
        <w:rPr>
          <w:b/>
          <w:bCs/>
          <w:u w:val="single"/>
        </w:rPr>
        <w:t>Report Date:</w:t>
      </w:r>
      <w:r w:rsidRPr="00016576">
        <w:t xml:space="preserve"> 11/1</w:t>
      </w:r>
      <w:r w:rsidR="006312A0">
        <w:t>4</w:t>
      </w:r>
      <w:r w:rsidRPr="00016576">
        <w:t>/2018</w:t>
      </w:r>
      <w:r w:rsidRPr="00016576">
        <w:br/>
      </w:r>
      <w:r w:rsidRPr="00016576">
        <w:rPr>
          <w:b/>
          <w:bCs/>
          <w:u w:val="single"/>
        </w:rPr>
        <w:t>NMED/AQB Modeler:</w:t>
      </w:r>
      <w:r w:rsidRPr="00016576">
        <w:t xml:space="preserve"> Eric Peters </w:t>
      </w:r>
      <w:r w:rsidRPr="00016576">
        <w:br/>
      </w:r>
      <w:r w:rsidRPr="00016576">
        <w:br/>
      </w:r>
      <w:r w:rsidRPr="00016576">
        <w:br/>
      </w:r>
      <w:r w:rsidRPr="00016576">
        <w:rPr>
          <w:b/>
          <w:bCs/>
          <w:u w:val="single"/>
        </w:rPr>
        <w:t>Facility Identification:</w:t>
      </w:r>
      <w:r w:rsidRPr="00016576">
        <w:br/>
        <w:t>Project: Hobbs Generating Station    Company: Lea Power Partners, LLC</w:t>
      </w:r>
      <w:r w:rsidRPr="00016576">
        <w:br/>
        <w:t>Permit number: 3449M5    TEMPO ID: 25726</w:t>
      </w:r>
      <w:r w:rsidRPr="00016576">
        <w:br/>
      </w:r>
      <w:r w:rsidRPr="00016576">
        <w:br/>
      </w:r>
      <w:r w:rsidRPr="00016576">
        <w:rPr>
          <w:b/>
          <w:bCs/>
          <w:u w:val="single"/>
        </w:rPr>
        <w:t>Location Information:</w:t>
      </w:r>
      <w:r w:rsidRPr="00016576">
        <w:br/>
        <w:t>The facility is located 7.4 miles north-northwest of Monument, in Lea County. The facility is located 8.7 miles west of Hobbs.</w:t>
      </w:r>
      <w:r w:rsidRPr="00016576">
        <w:br/>
        <w:t>UTM Coordinates: 658,413 m East, 3,622,425 m North, zone 13, Datum: NAD83</w:t>
      </w:r>
      <w:r w:rsidRPr="00016576">
        <w:br/>
        <w:t>Elevation = 3716 feet</w:t>
      </w:r>
      <w:r w:rsidRPr="00016576">
        <w:br/>
        <w:t>Air Quality Control Region (AQCR): 155</w:t>
      </w:r>
      <w:r w:rsidRPr="00016576">
        <w:br/>
        <w:t xml:space="preserve">Airshed: </w:t>
      </w:r>
      <w:proofErr w:type="spellStart"/>
      <w:r w:rsidRPr="00016576">
        <w:t>Tg</w:t>
      </w:r>
      <w:proofErr w:type="spellEnd"/>
      <w:r w:rsidRPr="00016576">
        <w:br/>
      </w:r>
      <w:r w:rsidRPr="00016576">
        <w:br/>
      </w:r>
      <w:r w:rsidRPr="00016576">
        <w:rPr>
          <w:b/>
          <w:bCs/>
          <w:u w:val="single"/>
        </w:rPr>
        <w:t>Project Description:</w:t>
      </w:r>
      <w:r w:rsidRPr="00016576">
        <w:br/>
      </w:r>
      <w:r w:rsidRPr="00016576">
        <w:rPr>
          <w:b/>
          <w:bCs/>
          <w:u w:val="single"/>
        </w:rPr>
        <w:t>Brief:</w:t>
      </w:r>
      <w:r w:rsidRPr="00016576">
        <w:t xml:space="preserve"> Lea Power Partners, LLC has applied to the New Mexico Air Quality Bureau for a New Source Review air quality permit for the modification of the Hobbs Generating Station (the facility). The facility is a power plant.</w:t>
      </w:r>
      <w:r>
        <w:t xml:space="preserve"> </w:t>
      </w:r>
      <w:r w:rsidRPr="00016576">
        <w:t>The purpose of the modification is to increase the efficiency of the turbines by replacing inlet guide vanes and the first six stages of the compressor.</w:t>
      </w:r>
      <w:r>
        <w:t xml:space="preserve"> </w:t>
      </w:r>
      <w:r w:rsidRPr="00016576">
        <w:t>The following types of emission sources are included in the project: Combustion Turbine and Duct Burner. The emission units are described in Table 1: Table of Emissio</w:t>
      </w:r>
      <w:r>
        <w:t>ns and Stack Parameters, below.</w:t>
      </w:r>
    </w:p>
    <w:p w:rsidR="00016576" w:rsidRPr="00016576" w:rsidRDefault="00016576" w:rsidP="00016576">
      <w:pPr>
        <w:pStyle w:val="NoSpacing"/>
      </w:pPr>
      <w:r w:rsidRPr="00016576">
        <w:br/>
        <w:t>Pre-construction monitoring is waived because the facility is close to Hobbs monitors.</w:t>
      </w:r>
      <w:r>
        <w:t xml:space="preserve"> </w:t>
      </w:r>
      <w:r w:rsidRPr="00016576">
        <w:t>For this permit, modeling was required for the following pollutants: Nitrogen Dioxide (NO</w:t>
      </w:r>
      <w:r w:rsidRPr="00016576">
        <w:rPr>
          <w:vertAlign w:val="subscript"/>
        </w:rPr>
        <w:t>2</w:t>
      </w:r>
      <w:r w:rsidRPr="00016576">
        <w:t xml:space="preserve">), </w:t>
      </w:r>
      <w:r w:rsidR="00DD58D0">
        <w:t>ozone (O</w:t>
      </w:r>
      <w:r w:rsidR="00DD58D0" w:rsidRPr="00DD58D0">
        <w:rPr>
          <w:vertAlign w:val="subscript"/>
        </w:rPr>
        <w:t>3</w:t>
      </w:r>
      <w:r w:rsidR="00DD58D0">
        <w:t xml:space="preserve">), </w:t>
      </w:r>
      <w:r w:rsidRPr="00016576">
        <w:t xml:space="preserve">Particulate Matter (2.5 microns or less) (PM2.5), and Sulfur Dioxide (SO2). </w:t>
      </w:r>
      <w:r w:rsidRPr="00016576">
        <w:br/>
      </w:r>
      <w:r w:rsidRPr="00016576">
        <w:br/>
      </w:r>
      <w:r w:rsidRPr="00016576">
        <w:rPr>
          <w:b/>
          <w:bCs/>
          <w:u w:val="single"/>
        </w:rPr>
        <w:t>Table 1: Table of Total Facility Emissions</w:t>
      </w:r>
      <w:r w:rsidR="00AC3FAF" w:rsidRPr="00016576">
        <w:rPr>
          <w:rFonts w:eastAsia="Times New Roman" w:cs="Times New Roman"/>
          <w:szCs w:val="24"/>
          <w:vertAlign w:val="superscript"/>
        </w:rPr>
        <w:t>1</w:t>
      </w:r>
    </w:p>
    <w:tbl>
      <w:tblPr>
        <w:tblW w:w="0" w:type="auto"/>
        <w:tblCellSpacing w:w="7" w:type="dxa"/>
        <w:tblCellMar>
          <w:top w:w="105" w:type="dxa"/>
          <w:left w:w="105" w:type="dxa"/>
          <w:bottom w:w="105" w:type="dxa"/>
          <w:right w:w="105" w:type="dxa"/>
        </w:tblCellMar>
        <w:tblLook w:val="04A0" w:firstRow="1" w:lastRow="0" w:firstColumn="1" w:lastColumn="0" w:noHBand="0" w:noVBand="1"/>
      </w:tblPr>
      <w:tblGrid>
        <w:gridCol w:w="1780"/>
        <w:gridCol w:w="1737"/>
        <w:gridCol w:w="1985"/>
      </w:tblGrid>
      <w:tr w:rsidR="00016576" w:rsidRPr="005A7996" w:rsidTr="00016576">
        <w:trPr>
          <w:tblCellSpacing w:w="7" w:type="dxa"/>
        </w:trPr>
        <w:tc>
          <w:tcPr>
            <w:tcW w:w="0" w:type="auto"/>
            <w:vAlign w:val="center"/>
            <w:hideMark/>
          </w:tcPr>
          <w:p w:rsidR="00016576" w:rsidRPr="005A7996" w:rsidRDefault="00016576" w:rsidP="00016576">
            <w:pPr>
              <w:spacing w:after="0" w:line="240" w:lineRule="auto"/>
              <w:jc w:val="center"/>
              <w:rPr>
                <w:rFonts w:eastAsia="Times New Roman" w:cs="Times New Roman"/>
                <w:sz w:val="22"/>
              </w:rPr>
            </w:pPr>
            <w:r w:rsidRPr="005A7996">
              <w:rPr>
                <w:rFonts w:eastAsia="Times New Roman" w:cs="Times New Roman"/>
                <w:sz w:val="22"/>
              </w:rPr>
              <w:t>NO</w:t>
            </w:r>
            <w:r w:rsidRPr="005A7996">
              <w:rPr>
                <w:rFonts w:eastAsia="Times New Roman" w:cs="Times New Roman"/>
                <w:sz w:val="22"/>
                <w:vertAlign w:val="subscript"/>
              </w:rPr>
              <w:t>2</w:t>
            </w:r>
            <w:r w:rsidRPr="005A7996">
              <w:rPr>
                <w:rFonts w:eastAsia="Times New Roman" w:cs="Times New Roman"/>
                <w:sz w:val="22"/>
              </w:rPr>
              <w:t xml:space="preserve"> Rate (</w:t>
            </w:r>
            <w:proofErr w:type="spellStart"/>
            <w:r w:rsidRPr="005A7996">
              <w:rPr>
                <w:rFonts w:eastAsia="Times New Roman" w:cs="Times New Roman"/>
                <w:sz w:val="22"/>
              </w:rPr>
              <w:t>lbs</w:t>
            </w:r>
            <w:proofErr w:type="spellEnd"/>
            <w:r w:rsidRPr="005A7996">
              <w:rPr>
                <w:rFonts w:eastAsia="Times New Roman" w:cs="Times New Roman"/>
                <w:sz w:val="22"/>
              </w:rPr>
              <w:t>/</w:t>
            </w:r>
            <w:proofErr w:type="spellStart"/>
            <w:r w:rsidRPr="005A7996">
              <w:rPr>
                <w:rFonts w:eastAsia="Times New Roman" w:cs="Times New Roman"/>
                <w:sz w:val="22"/>
              </w:rPr>
              <w:t>hr</w:t>
            </w:r>
            <w:proofErr w:type="spellEnd"/>
            <w:r w:rsidRPr="005A7996">
              <w:rPr>
                <w:rFonts w:eastAsia="Times New Roman" w:cs="Times New Roman"/>
                <w:sz w:val="22"/>
              </w:rPr>
              <w:t>)</w:t>
            </w:r>
          </w:p>
        </w:tc>
        <w:tc>
          <w:tcPr>
            <w:tcW w:w="0" w:type="auto"/>
            <w:vAlign w:val="center"/>
            <w:hideMark/>
          </w:tcPr>
          <w:p w:rsidR="00016576" w:rsidRPr="005A7996" w:rsidRDefault="00016576" w:rsidP="00016576">
            <w:pPr>
              <w:spacing w:after="0" w:line="240" w:lineRule="auto"/>
              <w:jc w:val="center"/>
              <w:rPr>
                <w:rFonts w:eastAsia="Times New Roman" w:cs="Times New Roman"/>
                <w:sz w:val="22"/>
              </w:rPr>
            </w:pPr>
            <w:r w:rsidRPr="005A7996">
              <w:rPr>
                <w:rFonts w:eastAsia="Times New Roman" w:cs="Times New Roman"/>
                <w:sz w:val="22"/>
              </w:rPr>
              <w:t>SO</w:t>
            </w:r>
            <w:r w:rsidRPr="005A7996">
              <w:rPr>
                <w:rFonts w:eastAsia="Times New Roman" w:cs="Times New Roman"/>
                <w:sz w:val="22"/>
                <w:vertAlign w:val="subscript"/>
              </w:rPr>
              <w:t>2</w:t>
            </w:r>
            <w:r w:rsidRPr="005A7996">
              <w:rPr>
                <w:rFonts w:eastAsia="Times New Roman" w:cs="Times New Roman"/>
                <w:sz w:val="22"/>
              </w:rPr>
              <w:t xml:space="preserve"> Rate (</w:t>
            </w:r>
            <w:proofErr w:type="spellStart"/>
            <w:r w:rsidRPr="005A7996">
              <w:rPr>
                <w:rFonts w:eastAsia="Times New Roman" w:cs="Times New Roman"/>
                <w:sz w:val="22"/>
              </w:rPr>
              <w:t>lbs</w:t>
            </w:r>
            <w:proofErr w:type="spellEnd"/>
            <w:r w:rsidRPr="005A7996">
              <w:rPr>
                <w:rFonts w:eastAsia="Times New Roman" w:cs="Times New Roman"/>
                <w:sz w:val="22"/>
              </w:rPr>
              <w:t>/</w:t>
            </w:r>
            <w:proofErr w:type="spellStart"/>
            <w:r w:rsidRPr="005A7996">
              <w:rPr>
                <w:rFonts w:eastAsia="Times New Roman" w:cs="Times New Roman"/>
                <w:sz w:val="22"/>
              </w:rPr>
              <w:t>hr</w:t>
            </w:r>
            <w:proofErr w:type="spellEnd"/>
            <w:r w:rsidRPr="005A7996">
              <w:rPr>
                <w:rFonts w:eastAsia="Times New Roman" w:cs="Times New Roman"/>
                <w:sz w:val="22"/>
              </w:rPr>
              <w:t>)</w:t>
            </w:r>
          </w:p>
        </w:tc>
        <w:tc>
          <w:tcPr>
            <w:tcW w:w="0" w:type="auto"/>
            <w:vAlign w:val="center"/>
            <w:hideMark/>
          </w:tcPr>
          <w:p w:rsidR="00016576" w:rsidRPr="005A7996" w:rsidRDefault="00016576" w:rsidP="00016576">
            <w:pPr>
              <w:spacing w:after="0" w:line="240" w:lineRule="auto"/>
              <w:jc w:val="center"/>
              <w:rPr>
                <w:rFonts w:eastAsia="Times New Roman" w:cs="Times New Roman"/>
                <w:sz w:val="22"/>
              </w:rPr>
            </w:pPr>
            <w:r w:rsidRPr="005A7996">
              <w:rPr>
                <w:rFonts w:eastAsia="Times New Roman" w:cs="Times New Roman"/>
                <w:sz w:val="22"/>
              </w:rPr>
              <w:t>PM2.5 Rate (</w:t>
            </w:r>
            <w:proofErr w:type="spellStart"/>
            <w:r w:rsidRPr="005A7996">
              <w:rPr>
                <w:rFonts w:eastAsia="Times New Roman" w:cs="Times New Roman"/>
                <w:sz w:val="22"/>
              </w:rPr>
              <w:t>lbs</w:t>
            </w:r>
            <w:proofErr w:type="spellEnd"/>
            <w:r w:rsidRPr="005A7996">
              <w:rPr>
                <w:rFonts w:eastAsia="Times New Roman" w:cs="Times New Roman"/>
                <w:sz w:val="22"/>
              </w:rPr>
              <w:t>/</w:t>
            </w:r>
            <w:proofErr w:type="spellStart"/>
            <w:r w:rsidRPr="005A7996">
              <w:rPr>
                <w:rFonts w:eastAsia="Times New Roman" w:cs="Times New Roman"/>
                <w:sz w:val="22"/>
              </w:rPr>
              <w:t>hr</w:t>
            </w:r>
            <w:proofErr w:type="spellEnd"/>
            <w:r w:rsidRPr="005A7996">
              <w:rPr>
                <w:rFonts w:eastAsia="Times New Roman" w:cs="Times New Roman"/>
                <w:sz w:val="22"/>
              </w:rPr>
              <w:t>)</w:t>
            </w:r>
          </w:p>
        </w:tc>
      </w:tr>
      <w:tr w:rsidR="006312A0" w:rsidRPr="005A7996" w:rsidTr="006312A0">
        <w:trPr>
          <w:tblCellSpacing w:w="7" w:type="dxa"/>
        </w:trPr>
        <w:tc>
          <w:tcPr>
            <w:tcW w:w="0" w:type="auto"/>
            <w:vAlign w:val="center"/>
            <w:hideMark/>
          </w:tcPr>
          <w:p w:rsidR="006312A0" w:rsidRPr="005A7996" w:rsidRDefault="006312A0" w:rsidP="006312A0">
            <w:pPr>
              <w:jc w:val="center"/>
              <w:rPr>
                <w:sz w:val="22"/>
              </w:rPr>
            </w:pPr>
            <w:r w:rsidRPr="005A7996">
              <w:rPr>
                <w:sz w:val="22"/>
              </w:rPr>
              <w:t>10.936</w:t>
            </w:r>
          </w:p>
        </w:tc>
        <w:tc>
          <w:tcPr>
            <w:tcW w:w="0" w:type="auto"/>
            <w:vAlign w:val="center"/>
            <w:hideMark/>
          </w:tcPr>
          <w:p w:rsidR="006312A0" w:rsidRPr="005A7996" w:rsidRDefault="006312A0" w:rsidP="006312A0">
            <w:pPr>
              <w:jc w:val="center"/>
              <w:rPr>
                <w:sz w:val="22"/>
              </w:rPr>
            </w:pPr>
            <w:r w:rsidRPr="005A7996">
              <w:rPr>
                <w:sz w:val="22"/>
              </w:rPr>
              <w:t>10.045</w:t>
            </w:r>
          </w:p>
        </w:tc>
        <w:tc>
          <w:tcPr>
            <w:tcW w:w="0" w:type="auto"/>
            <w:vAlign w:val="center"/>
            <w:hideMark/>
          </w:tcPr>
          <w:p w:rsidR="006312A0" w:rsidRPr="005A7996" w:rsidRDefault="006312A0" w:rsidP="006312A0">
            <w:pPr>
              <w:jc w:val="center"/>
              <w:rPr>
                <w:sz w:val="22"/>
              </w:rPr>
            </w:pPr>
            <w:r w:rsidRPr="005A7996">
              <w:rPr>
                <w:sz w:val="22"/>
              </w:rPr>
              <w:t>4.178</w:t>
            </w:r>
          </w:p>
        </w:tc>
      </w:tr>
    </w:tbl>
    <w:p w:rsidR="00016576" w:rsidRPr="00016576" w:rsidRDefault="00016576" w:rsidP="00016576">
      <w:pPr>
        <w:spacing w:after="0" w:line="240" w:lineRule="auto"/>
        <w:rPr>
          <w:rFonts w:eastAsia="Times New Roman" w:cs="Times New Roman"/>
          <w:szCs w:val="24"/>
        </w:rPr>
      </w:pPr>
      <w:r w:rsidRPr="00016576">
        <w:rPr>
          <w:rFonts w:eastAsia="Times New Roman" w:cs="Times New Roman"/>
          <w:b/>
          <w:bCs/>
          <w:szCs w:val="24"/>
          <w:u w:val="single"/>
        </w:rPr>
        <w:t>Table 2: Table of Point Sources</w:t>
      </w:r>
      <w:r w:rsidR="00AC3FAF" w:rsidRPr="00016576">
        <w:rPr>
          <w:rFonts w:eastAsia="Times New Roman" w:cs="Times New Roman"/>
          <w:szCs w:val="24"/>
          <w:vertAlign w:val="superscript"/>
        </w:rPr>
        <w:t>1</w:t>
      </w:r>
    </w:p>
    <w:tbl>
      <w:tblPr>
        <w:tblW w:w="10463" w:type="dxa"/>
        <w:jc w:val="center"/>
        <w:tblCellSpacing w:w="7" w:type="dxa"/>
        <w:tblLayout w:type="fixed"/>
        <w:tblCellMar>
          <w:top w:w="105" w:type="dxa"/>
          <w:left w:w="105" w:type="dxa"/>
          <w:bottom w:w="105" w:type="dxa"/>
          <w:right w:w="105" w:type="dxa"/>
        </w:tblCellMar>
        <w:tblLook w:val="04A0" w:firstRow="1" w:lastRow="0" w:firstColumn="1" w:lastColumn="0" w:noHBand="0" w:noVBand="1"/>
      </w:tblPr>
      <w:tblGrid>
        <w:gridCol w:w="1368"/>
        <w:gridCol w:w="2276"/>
        <w:gridCol w:w="823"/>
        <w:gridCol w:w="1043"/>
        <w:gridCol w:w="982"/>
        <w:gridCol w:w="1348"/>
        <w:gridCol w:w="872"/>
        <w:gridCol w:w="872"/>
        <w:gridCol w:w="879"/>
      </w:tblGrid>
      <w:tr w:rsidR="00016576" w:rsidRPr="00016576" w:rsidTr="006312A0">
        <w:trPr>
          <w:tblCellSpacing w:w="7" w:type="dxa"/>
          <w:jc w:val="center"/>
        </w:trPr>
        <w:tc>
          <w:tcPr>
            <w:tcW w:w="1347" w:type="dxa"/>
            <w:vAlign w:val="center"/>
            <w:hideMark/>
          </w:tcPr>
          <w:p w:rsidR="00016576" w:rsidRPr="00016576" w:rsidRDefault="00016576" w:rsidP="006312A0">
            <w:pPr>
              <w:spacing w:after="0" w:line="240" w:lineRule="auto"/>
              <w:jc w:val="center"/>
              <w:rPr>
                <w:rFonts w:eastAsia="Times New Roman" w:cs="Times New Roman"/>
                <w:sz w:val="22"/>
              </w:rPr>
            </w:pPr>
            <w:r w:rsidRPr="00016576">
              <w:rPr>
                <w:rFonts w:eastAsia="Times New Roman" w:cs="Times New Roman"/>
                <w:sz w:val="22"/>
              </w:rPr>
              <w:t>Stack Number</w:t>
            </w:r>
          </w:p>
        </w:tc>
        <w:tc>
          <w:tcPr>
            <w:tcW w:w="2262" w:type="dxa"/>
            <w:vAlign w:val="center"/>
            <w:hideMark/>
          </w:tcPr>
          <w:p w:rsidR="00016576" w:rsidRPr="00016576" w:rsidRDefault="00016576" w:rsidP="006312A0">
            <w:pPr>
              <w:spacing w:after="0" w:line="240" w:lineRule="auto"/>
              <w:jc w:val="center"/>
              <w:rPr>
                <w:rFonts w:eastAsia="Times New Roman" w:cs="Times New Roman"/>
                <w:sz w:val="22"/>
              </w:rPr>
            </w:pPr>
            <w:r w:rsidRPr="00016576">
              <w:rPr>
                <w:rFonts w:eastAsia="Times New Roman" w:cs="Times New Roman"/>
                <w:sz w:val="22"/>
              </w:rPr>
              <w:t>Description</w:t>
            </w:r>
          </w:p>
        </w:tc>
        <w:tc>
          <w:tcPr>
            <w:tcW w:w="809" w:type="dxa"/>
            <w:vAlign w:val="center"/>
            <w:hideMark/>
          </w:tcPr>
          <w:p w:rsidR="00016576" w:rsidRPr="00016576" w:rsidRDefault="00016576" w:rsidP="006312A0">
            <w:pPr>
              <w:spacing w:after="0" w:line="240" w:lineRule="auto"/>
              <w:jc w:val="center"/>
              <w:rPr>
                <w:rFonts w:eastAsia="Times New Roman" w:cs="Times New Roman"/>
                <w:sz w:val="22"/>
              </w:rPr>
            </w:pPr>
            <w:r w:rsidRPr="00016576">
              <w:rPr>
                <w:rFonts w:eastAsia="Times New Roman" w:cs="Times New Roman"/>
                <w:sz w:val="22"/>
              </w:rPr>
              <w:t>Stack Height (ft)</w:t>
            </w:r>
          </w:p>
        </w:tc>
        <w:tc>
          <w:tcPr>
            <w:tcW w:w="1029" w:type="dxa"/>
            <w:vAlign w:val="center"/>
            <w:hideMark/>
          </w:tcPr>
          <w:p w:rsidR="00016576" w:rsidRPr="00016576" w:rsidRDefault="00016576" w:rsidP="006312A0">
            <w:pPr>
              <w:spacing w:after="0" w:line="240" w:lineRule="auto"/>
              <w:jc w:val="center"/>
              <w:rPr>
                <w:rFonts w:eastAsia="Times New Roman" w:cs="Times New Roman"/>
                <w:sz w:val="22"/>
              </w:rPr>
            </w:pPr>
            <w:r w:rsidRPr="00016576">
              <w:rPr>
                <w:rFonts w:eastAsia="Times New Roman" w:cs="Times New Roman"/>
                <w:sz w:val="22"/>
              </w:rPr>
              <w:t>Diameter (ft)</w:t>
            </w:r>
          </w:p>
        </w:tc>
        <w:tc>
          <w:tcPr>
            <w:tcW w:w="968" w:type="dxa"/>
            <w:vAlign w:val="center"/>
            <w:hideMark/>
          </w:tcPr>
          <w:p w:rsidR="00016576" w:rsidRPr="00016576" w:rsidRDefault="00016576" w:rsidP="006312A0">
            <w:pPr>
              <w:spacing w:after="0" w:line="240" w:lineRule="auto"/>
              <w:jc w:val="center"/>
              <w:rPr>
                <w:rFonts w:eastAsia="Times New Roman" w:cs="Times New Roman"/>
                <w:sz w:val="22"/>
              </w:rPr>
            </w:pPr>
            <w:r w:rsidRPr="00016576">
              <w:rPr>
                <w:rFonts w:eastAsia="Times New Roman" w:cs="Times New Roman"/>
                <w:sz w:val="22"/>
              </w:rPr>
              <w:t>Velocity (ft/s)</w:t>
            </w:r>
          </w:p>
        </w:tc>
        <w:tc>
          <w:tcPr>
            <w:tcW w:w="1334" w:type="dxa"/>
            <w:vAlign w:val="center"/>
            <w:hideMark/>
          </w:tcPr>
          <w:p w:rsidR="00016576" w:rsidRPr="00016576" w:rsidRDefault="00016576" w:rsidP="006312A0">
            <w:pPr>
              <w:spacing w:after="0" w:line="240" w:lineRule="auto"/>
              <w:jc w:val="center"/>
              <w:rPr>
                <w:rFonts w:eastAsia="Times New Roman" w:cs="Times New Roman"/>
                <w:sz w:val="22"/>
              </w:rPr>
            </w:pPr>
            <w:r w:rsidRPr="00016576">
              <w:rPr>
                <w:rFonts w:eastAsia="Times New Roman" w:cs="Times New Roman"/>
                <w:sz w:val="22"/>
              </w:rPr>
              <w:t>Temperature (°F)</w:t>
            </w:r>
          </w:p>
        </w:tc>
        <w:tc>
          <w:tcPr>
            <w:tcW w:w="858" w:type="dxa"/>
            <w:vAlign w:val="center"/>
            <w:hideMark/>
          </w:tcPr>
          <w:p w:rsidR="00016576" w:rsidRPr="00016576" w:rsidRDefault="00016576" w:rsidP="006312A0">
            <w:pPr>
              <w:spacing w:after="0" w:line="240" w:lineRule="auto"/>
              <w:jc w:val="center"/>
              <w:rPr>
                <w:rFonts w:eastAsia="Times New Roman" w:cs="Times New Roman"/>
                <w:sz w:val="22"/>
              </w:rPr>
            </w:pPr>
            <w:r w:rsidRPr="00016576">
              <w:rPr>
                <w:rFonts w:eastAsia="Times New Roman" w:cs="Times New Roman"/>
                <w:sz w:val="22"/>
              </w:rPr>
              <w:t>NO</w:t>
            </w:r>
            <w:r w:rsidRPr="00016576">
              <w:rPr>
                <w:rFonts w:eastAsia="Times New Roman" w:cs="Times New Roman"/>
                <w:sz w:val="22"/>
                <w:vertAlign w:val="subscript"/>
              </w:rPr>
              <w:t>2</w:t>
            </w:r>
            <w:r w:rsidRPr="00016576">
              <w:rPr>
                <w:rFonts w:eastAsia="Times New Roman" w:cs="Times New Roman"/>
                <w:sz w:val="22"/>
              </w:rPr>
              <w:t xml:space="preserve"> Rate (</w:t>
            </w:r>
            <w:proofErr w:type="spellStart"/>
            <w:r w:rsidRPr="00016576">
              <w:rPr>
                <w:rFonts w:eastAsia="Times New Roman" w:cs="Times New Roman"/>
                <w:sz w:val="22"/>
              </w:rPr>
              <w:t>lbs</w:t>
            </w:r>
            <w:proofErr w:type="spellEnd"/>
            <w:r w:rsidRPr="00016576">
              <w:rPr>
                <w:rFonts w:eastAsia="Times New Roman" w:cs="Times New Roman"/>
                <w:sz w:val="22"/>
              </w:rPr>
              <w:t>/</w:t>
            </w:r>
            <w:proofErr w:type="spellStart"/>
            <w:r w:rsidRPr="00016576">
              <w:rPr>
                <w:rFonts w:eastAsia="Times New Roman" w:cs="Times New Roman"/>
                <w:sz w:val="22"/>
              </w:rPr>
              <w:t>hr</w:t>
            </w:r>
            <w:proofErr w:type="spellEnd"/>
            <w:r w:rsidRPr="00016576">
              <w:rPr>
                <w:rFonts w:eastAsia="Times New Roman" w:cs="Times New Roman"/>
                <w:sz w:val="22"/>
              </w:rPr>
              <w:t>)</w:t>
            </w:r>
          </w:p>
        </w:tc>
        <w:tc>
          <w:tcPr>
            <w:tcW w:w="858" w:type="dxa"/>
            <w:vAlign w:val="center"/>
            <w:hideMark/>
          </w:tcPr>
          <w:p w:rsidR="00016576" w:rsidRPr="00016576" w:rsidRDefault="00016576" w:rsidP="006312A0">
            <w:pPr>
              <w:spacing w:after="0" w:line="240" w:lineRule="auto"/>
              <w:jc w:val="center"/>
              <w:rPr>
                <w:rFonts w:eastAsia="Times New Roman" w:cs="Times New Roman"/>
                <w:sz w:val="22"/>
              </w:rPr>
            </w:pPr>
            <w:r w:rsidRPr="00016576">
              <w:rPr>
                <w:rFonts w:eastAsia="Times New Roman" w:cs="Times New Roman"/>
                <w:sz w:val="22"/>
              </w:rPr>
              <w:t>SO</w:t>
            </w:r>
            <w:r w:rsidRPr="00016576">
              <w:rPr>
                <w:rFonts w:eastAsia="Times New Roman" w:cs="Times New Roman"/>
                <w:sz w:val="22"/>
                <w:vertAlign w:val="subscript"/>
              </w:rPr>
              <w:t>2</w:t>
            </w:r>
            <w:r w:rsidRPr="00016576">
              <w:rPr>
                <w:rFonts w:eastAsia="Times New Roman" w:cs="Times New Roman"/>
                <w:sz w:val="22"/>
              </w:rPr>
              <w:t xml:space="preserve"> Rate (</w:t>
            </w:r>
            <w:proofErr w:type="spellStart"/>
            <w:r w:rsidRPr="00016576">
              <w:rPr>
                <w:rFonts w:eastAsia="Times New Roman" w:cs="Times New Roman"/>
                <w:sz w:val="22"/>
              </w:rPr>
              <w:t>lbs</w:t>
            </w:r>
            <w:proofErr w:type="spellEnd"/>
            <w:r w:rsidRPr="00016576">
              <w:rPr>
                <w:rFonts w:eastAsia="Times New Roman" w:cs="Times New Roman"/>
                <w:sz w:val="22"/>
              </w:rPr>
              <w:t>/</w:t>
            </w:r>
            <w:proofErr w:type="spellStart"/>
            <w:r w:rsidRPr="00016576">
              <w:rPr>
                <w:rFonts w:eastAsia="Times New Roman" w:cs="Times New Roman"/>
                <w:sz w:val="22"/>
              </w:rPr>
              <w:t>hr</w:t>
            </w:r>
            <w:proofErr w:type="spellEnd"/>
            <w:r w:rsidRPr="00016576">
              <w:rPr>
                <w:rFonts w:eastAsia="Times New Roman" w:cs="Times New Roman"/>
                <w:sz w:val="22"/>
              </w:rPr>
              <w:t>)</w:t>
            </w:r>
          </w:p>
        </w:tc>
        <w:tc>
          <w:tcPr>
            <w:tcW w:w="858" w:type="dxa"/>
            <w:vAlign w:val="center"/>
            <w:hideMark/>
          </w:tcPr>
          <w:p w:rsidR="00016576" w:rsidRPr="00016576" w:rsidRDefault="00016576" w:rsidP="006312A0">
            <w:pPr>
              <w:spacing w:after="0" w:line="240" w:lineRule="auto"/>
              <w:jc w:val="center"/>
              <w:rPr>
                <w:rFonts w:eastAsia="Times New Roman" w:cs="Times New Roman"/>
                <w:sz w:val="22"/>
              </w:rPr>
            </w:pPr>
            <w:r w:rsidRPr="00016576">
              <w:rPr>
                <w:rFonts w:eastAsia="Times New Roman" w:cs="Times New Roman"/>
                <w:sz w:val="22"/>
              </w:rPr>
              <w:t>PM2.5 Rate (</w:t>
            </w:r>
            <w:proofErr w:type="spellStart"/>
            <w:r w:rsidRPr="00016576">
              <w:rPr>
                <w:rFonts w:eastAsia="Times New Roman" w:cs="Times New Roman"/>
                <w:sz w:val="22"/>
              </w:rPr>
              <w:t>lbs</w:t>
            </w:r>
            <w:proofErr w:type="spellEnd"/>
            <w:r w:rsidRPr="00016576">
              <w:rPr>
                <w:rFonts w:eastAsia="Times New Roman" w:cs="Times New Roman"/>
                <w:sz w:val="22"/>
              </w:rPr>
              <w:t>/</w:t>
            </w:r>
            <w:proofErr w:type="spellStart"/>
            <w:r w:rsidRPr="00016576">
              <w:rPr>
                <w:rFonts w:eastAsia="Times New Roman" w:cs="Times New Roman"/>
                <w:sz w:val="22"/>
              </w:rPr>
              <w:t>hr</w:t>
            </w:r>
            <w:proofErr w:type="spellEnd"/>
            <w:r w:rsidRPr="00016576">
              <w:rPr>
                <w:rFonts w:eastAsia="Times New Roman" w:cs="Times New Roman"/>
                <w:sz w:val="22"/>
              </w:rPr>
              <w:t>)</w:t>
            </w:r>
          </w:p>
        </w:tc>
      </w:tr>
      <w:tr w:rsidR="006312A0" w:rsidRPr="00016576" w:rsidTr="006312A0">
        <w:trPr>
          <w:tblCellSpacing w:w="7" w:type="dxa"/>
          <w:jc w:val="center"/>
        </w:trPr>
        <w:tc>
          <w:tcPr>
            <w:tcW w:w="1347"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HOBB1DB1</w:t>
            </w:r>
          </w:p>
        </w:tc>
        <w:tc>
          <w:tcPr>
            <w:tcW w:w="2262"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Combustion Turbine and Duct Burner 1</w:t>
            </w:r>
          </w:p>
        </w:tc>
        <w:tc>
          <w:tcPr>
            <w:tcW w:w="809"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165.0</w:t>
            </w:r>
          </w:p>
        </w:tc>
        <w:tc>
          <w:tcPr>
            <w:tcW w:w="1029"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18.0</w:t>
            </w:r>
          </w:p>
        </w:tc>
        <w:tc>
          <w:tcPr>
            <w:tcW w:w="968"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80.3</w:t>
            </w:r>
          </w:p>
        </w:tc>
        <w:tc>
          <w:tcPr>
            <w:tcW w:w="1334"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179</w:t>
            </w:r>
          </w:p>
        </w:tc>
        <w:tc>
          <w:tcPr>
            <w:tcW w:w="858" w:type="dxa"/>
            <w:vAlign w:val="bottom"/>
            <w:hideMark/>
          </w:tcPr>
          <w:p w:rsidR="006312A0" w:rsidRPr="006312A0" w:rsidRDefault="006312A0" w:rsidP="006312A0">
            <w:pPr>
              <w:jc w:val="center"/>
              <w:rPr>
                <w:sz w:val="22"/>
              </w:rPr>
            </w:pPr>
            <w:r w:rsidRPr="006312A0">
              <w:rPr>
                <w:sz w:val="22"/>
              </w:rPr>
              <w:t>5.468</w:t>
            </w:r>
          </w:p>
        </w:tc>
        <w:tc>
          <w:tcPr>
            <w:tcW w:w="858" w:type="dxa"/>
            <w:vAlign w:val="bottom"/>
            <w:hideMark/>
          </w:tcPr>
          <w:p w:rsidR="006312A0" w:rsidRPr="006312A0" w:rsidRDefault="006312A0" w:rsidP="006312A0">
            <w:pPr>
              <w:jc w:val="center"/>
              <w:rPr>
                <w:sz w:val="22"/>
              </w:rPr>
            </w:pPr>
            <w:r w:rsidRPr="006312A0">
              <w:rPr>
                <w:sz w:val="22"/>
              </w:rPr>
              <w:t>5.023</w:t>
            </w:r>
          </w:p>
        </w:tc>
        <w:tc>
          <w:tcPr>
            <w:tcW w:w="858" w:type="dxa"/>
            <w:vAlign w:val="bottom"/>
            <w:hideMark/>
          </w:tcPr>
          <w:p w:rsidR="006312A0" w:rsidRPr="006312A0" w:rsidRDefault="006312A0" w:rsidP="006312A0">
            <w:pPr>
              <w:jc w:val="center"/>
              <w:rPr>
                <w:sz w:val="22"/>
              </w:rPr>
            </w:pPr>
            <w:r w:rsidRPr="006312A0">
              <w:rPr>
                <w:sz w:val="22"/>
              </w:rPr>
              <w:t>2.089</w:t>
            </w:r>
          </w:p>
        </w:tc>
      </w:tr>
      <w:tr w:rsidR="006312A0" w:rsidRPr="00016576" w:rsidTr="006312A0">
        <w:trPr>
          <w:tblCellSpacing w:w="7" w:type="dxa"/>
          <w:jc w:val="center"/>
        </w:trPr>
        <w:tc>
          <w:tcPr>
            <w:tcW w:w="1347"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HOBB2DB2</w:t>
            </w:r>
          </w:p>
        </w:tc>
        <w:tc>
          <w:tcPr>
            <w:tcW w:w="2262"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Combustion Turbine and Duct Burner 2</w:t>
            </w:r>
          </w:p>
        </w:tc>
        <w:tc>
          <w:tcPr>
            <w:tcW w:w="809"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165.0</w:t>
            </w:r>
          </w:p>
        </w:tc>
        <w:tc>
          <w:tcPr>
            <w:tcW w:w="1029"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18.0</w:t>
            </w:r>
          </w:p>
        </w:tc>
        <w:tc>
          <w:tcPr>
            <w:tcW w:w="968"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80.3</w:t>
            </w:r>
          </w:p>
        </w:tc>
        <w:tc>
          <w:tcPr>
            <w:tcW w:w="1334" w:type="dxa"/>
            <w:vAlign w:val="center"/>
            <w:hideMark/>
          </w:tcPr>
          <w:p w:rsidR="006312A0" w:rsidRPr="00016576" w:rsidRDefault="006312A0" w:rsidP="006312A0">
            <w:pPr>
              <w:spacing w:after="0" w:line="240" w:lineRule="auto"/>
              <w:jc w:val="center"/>
              <w:rPr>
                <w:rFonts w:eastAsia="Times New Roman" w:cs="Times New Roman"/>
                <w:sz w:val="22"/>
              </w:rPr>
            </w:pPr>
            <w:r w:rsidRPr="00016576">
              <w:rPr>
                <w:rFonts w:eastAsia="Times New Roman" w:cs="Times New Roman"/>
                <w:sz w:val="22"/>
              </w:rPr>
              <w:t>179</w:t>
            </w:r>
          </w:p>
        </w:tc>
        <w:tc>
          <w:tcPr>
            <w:tcW w:w="858" w:type="dxa"/>
            <w:vAlign w:val="bottom"/>
            <w:hideMark/>
          </w:tcPr>
          <w:p w:rsidR="006312A0" w:rsidRPr="006312A0" w:rsidRDefault="006312A0" w:rsidP="006312A0">
            <w:pPr>
              <w:jc w:val="center"/>
              <w:rPr>
                <w:sz w:val="22"/>
              </w:rPr>
            </w:pPr>
            <w:r w:rsidRPr="006312A0">
              <w:rPr>
                <w:sz w:val="22"/>
              </w:rPr>
              <w:t>5.468</w:t>
            </w:r>
          </w:p>
        </w:tc>
        <w:tc>
          <w:tcPr>
            <w:tcW w:w="858" w:type="dxa"/>
            <w:vAlign w:val="bottom"/>
            <w:hideMark/>
          </w:tcPr>
          <w:p w:rsidR="006312A0" w:rsidRPr="006312A0" w:rsidRDefault="006312A0" w:rsidP="006312A0">
            <w:pPr>
              <w:jc w:val="center"/>
              <w:rPr>
                <w:sz w:val="22"/>
              </w:rPr>
            </w:pPr>
            <w:r w:rsidRPr="006312A0">
              <w:rPr>
                <w:sz w:val="22"/>
              </w:rPr>
              <w:t>5.023</w:t>
            </w:r>
          </w:p>
        </w:tc>
        <w:tc>
          <w:tcPr>
            <w:tcW w:w="858" w:type="dxa"/>
            <w:vAlign w:val="bottom"/>
            <w:hideMark/>
          </w:tcPr>
          <w:p w:rsidR="006312A0" w:rsidRPr="006312A0" w:rsidRDefault="006312A0" w:rsidP="006312A0">
            <w:pPr>
              <w:jc w:val="center"/>
              <w:rPr>
                <w:sz w:val="22"/>
              </w:rPr>
            </w:pPr>
            <w:r w:rsidRPr="006312A0">
              <w:rPr>
                <w:sz w:val="22"/>
              </w:rPr>
              <w:t>2.089</w:t>
            </w:r>
          </w:p>
        </w:tc>
      </w:tr>
    </w:tbl>
    <w:p w:rsidR="000E373F" w:rsidRPr="000E373F" w:rsidRDefault="00016576" w:rsidP="00016576">
      <w:pPr>
        <w:spacing w:after="0" w:line="240" w:lineRule="auto"/>
        <w:rPr>
          <w:rFonts w:eastAsia="Times New Roman" w:cs="Times New Roman"/>
          <w:szCs w:val="24"/>
        </w:rPr>
      </w:pPr>
      <w:r w:rsidRPr="00016576">
        <w:rPr>
          <w:rFonts w:eastAsia="Times New Roman" w:cs="Times New Roman"/>
          <w:szCs w:val="24"/>
        </w:rPr>
        <w:br/>
      </w:r>
      <w:r w:rsidRPr="00016576">
        <w:rPr>
          <w:rFonts w:eastAsia="Times New Roman" w:cs="Times New Roman"/>
          <w:szCs w:val="24"/>
          <w:vertAlign w:val="superscript"/>
        </w:rPr>
        <w:t>1</w:t>
      </w:r>
      <w:r w:rsidRPr="00016576">
        <w:rPr>
          <w:rFonts w:eastAsia="Times New Roman" w:cs="Times New Roman"/>
          <w:szCs w:val="24"/>
        </w:rPr>
        <w:t xml:space="preserve"> </w:t>
      </w:r>
      <w:r w:rsidR="00AC3FAF">
        <w:rPr>
          <w:rFonts w:eastAsia="Times New Roman" w:cs="Times New Roman"/>
          <w:szCs w:val="24"/>
        </w:rPr>
        <w:t>Emission rates are based on increases in emissions from the project.</w:t>
      </w:r>
      <w:r w:rsidRPr="00016576">
        <w:rPr>
          <w:rFonts w:eastAsia="Times New Roman" w:cs="Times New Roman"/>
          <w:szCs w:val="24"/>
        </w:rPr>
        <w:br/>
      </w:r>
      <w:r w:rsidRPr="00016576">
        <w:rPr>
          <w:rFonts w:eastAsia="Times New Roman" w:cs="Times New Roman"/>
          <w:b/>
          <w:bCs/>
          <w:szCs w:val="24"/>
          <w:u w:val="single"/>
        </w:rPr>
        <w:lastRenderedPageBreak/>
        <w:t>Modeling Assumptions:</w:t>
      </w:r>
      <w:r w:rsidR="00AC3FAF" w:rsidRPr="00AC3FAF">
        <w:rPr>
          <w:rFonts w:eastAsia="Times New Roman" w:cs="Times New Roman"/>
          <w:szCs w:val="24"/>
        </w:rPr>
        <w:t xml:space="preserve"> </w:t>
      </w:r>
      <w:r w:rsidRPr="00016576">
        <w:rPr>
          <w:rFonts w:eastAsia="Times New Roman" w:cs="Times New Roman"/>
          <w:szCs w:val="24"/>
        </w:rPr>
        <w:t xml:space="preserve">The facility operates </w:t>
      </w:r>
      <w:r w:rsidR="00AC3FAF" w:rsidRPr="00AC3FAF">
        <w:rPr>
          <w:rFonts w:eastAsia="Times New Roman" w:cs="Times New Roman"/>
          <w:szCs w:val="24"/>
        </w:rPr>
        <w:t>continuously</w:t>
      </w:r>
      <w:r w:rsidRPr="00016576">
        <w:rPr>
          <w:rFonts w:eastAsia="Times New Roman" w:cs="Times New Roman"/>
          <w:szCs w:val="24"/>
        </w:rPr>
        <w:t>.</w:t>
      </w:r>
      <w:r w:rsidRPr="00016576">
        <w:rPr>
          <w:rFonts w:eastAsia="Times New Roman" w:cs="Times New Roman"/>
          <w:szCs w:val="24"/>
        </w:rPr>
        <w:br/>
      </w:r>
      <w:r w:rsidRPr="00016576">
        <w:rPr>
          <w:rFonts w:eastAsia="Times New Roman" w:cs="Times New Roman"/>
          <w:szCs w:val="24"/>
        </w:rPr>
        <w:br/>
      </w:r>
      <w:r w:rsidRPr="00016576">
        <w:rPr>
          <w:rFonts w:eastAsia="Times New Roman" w:cs="Times New Roman"/>
          <w:b/>
          <w:bCs/>
          <w:szCs w:val="24"/>
          <w:u w:val="single"/>
        </w:rPr>
        <w:t>Permit Conditions:</w:t>
      </w:r>
      <w:r w:rsidR="000E373F" w:rsidRPr="000E373F">
        <w:rPr>
          <w:rFonts w:eastAsia="Times New Roman" w:cs="Times New Roman"/>
          <w:szCs w:val="24"/>
        </w:rPr>
        <w:t xml:space="preserve"> No additional permit conditions are required by this modeling.</w:t>
      </w:r>
    </w:p>
    <w:p w:rsidR="00016576" w:rsidRPr="00016576" w:rsidRDefault="00016576" w:rsidP="00016576">
      <w:pPr>
        <w:spacing w:after="0" w:line="240" w:lineRule="auto"/>
        <w:rPr>
          <w:rFonts w:eastAsia="Times New Roman" w:cs="Times New Roman"/>
          <w:szCs w:val="24"/>
        </w:rPr>
      </w:pPr>
      <w:r w:rsidRPr="00016576">
        <w:rPr>
          <w:rFonts w:eastAsia="Times New Roman" w:cs="Times New Roman"/>
          <w:szCs w:val="24"/>
        </w:rPr>
        <w:br/>
      </w:r>
      <w:r w:rsidRPr="00016576">
        <w:rPr>
          <w:rFonts w:eastAsia="Times New Roman" w:cs="Times New Roman"/>
          <w:b/>
          <w:bCs/>
          <w:szCs w:val="24"/>
          <w:u w:val="single"/>
        </w:rPr>
        <w:t>Conclusion:</w:t>
      </w:r>
      <w:r w:rsidR="002078AE">
        <w:rPr>
          <w:rFonts w:eastAsia="Times New Roman" w:cs="Times New Roman"/>
          <w:b/>
          <w:bCs/>
          <w:szCs w:val="24"/>
          <w:u w:val="single"/>
        </w:rPr>
        <w:t xml:space="preserve"> </w:t>
      </w:r>
      <w:r w:rsidRPr="00016576">
        <w:rPr>
          <w:rFonts w:eastAsia="Times New Roman" w:cs="Times New Roman"/>
          <w:szCs w:val="24"/>
        </w:rPr>
        <w:t>This modeling analysis demonstrates that operation of the facility described in this report neither causes nor contributes to any exceedances of applicable air quality standards. The standards relevant at this facility are NAAQS for NO</w:t>
      </w:r>
      <w:r w:rsidRPr="00016576">
        <w:rPr>
          <w:rFonts w:eastAsia="Times New Roman" w:cs="Times New Roman"/>
          <w:szCs w:val="24"/>
          <w:vertAlign w:val="subscript"/>
        </w:rPr>
        <w:t>2</w:t>
      </w:r>
      <w:r w:rsidRPr="00016576">
        <w:rPr>
          <w:rFonts w:eastAsia="Times New Roman" w:cs="Times New Roman"/>
          <w:szCs w:val="24"/>
        </w:rPr>
        <w:t>, PM2.5, and SO</w:t>
      </w:r>
      <w:r w:rsidRPr="00016576">
        <w:rPr>
          <w:rFonts w:eastAsia="Times New Roman" w:cs="Times New Roman"/>
          <w:szCs w:val="24"/>
          <w:vertAlign w:val="subscript"/>
        </w:rPr>
        <w:t>2</w:t>
      </w:r>
      <w:r w:rsidRPr="00016576">
        <w:rPr>
          <w:rFonts w:eastAsia="Times New Roman" w:cs="Times New Roman"/>
          <w:szCs w:val="24"/>
        </w:rPr>
        <w:t>; NMAAQS for NO</w:t>
      </w:r>
      <w:r w:rsidRPr="00016576">
        <w:rPr>
          <w:rFonts w:eastAsia="Times New Roman" w:cs="Times New Roman"/>
          <w:szCs w:val="24"/>
          <w:vertAlign w:val="subscript"/>
        </w:rPr>
        <w:t>2</w:t>
      </w:r>
      <w:r w:rsidRPr="00016576">
        <w:rPr>
          <w:rFonts w:eastAsia="Times New Roman" w:cs="Times New Roman"/>
          <w:szCs w:val="24"/>
        </w:rPr>
        <w:t>, and SO</w:t>
      </w:r>
      <w:r w:rsidRPr="00016576">
        <w:rPr>
          <w:rFonts w:eastAsia="Times New Roman" w:cs="Times New Roman"/>
          <w:szCs w:val="24"/>
          <w:vertAlign w:val="subscript"/>
        </w:rPr>
        <w:t>2</w:t>
      </w:r>
      <w:r w:rsidRPr="00016576">
        <w:rPr>
          <w:rFonts w:eastAsia="Times New Roman" w:cs="Times New Roman"/>
          <w:szCs w:val="24"/>
        </w:rPr>
        <w:t>; and Class I and Class II PSD increments for NO</w:t>
      </w:r>
      <w:r w:rsidRPr="00016576">
        <w:rPr>
          <w:rFonts w:eastAsia="Times New Roman" w:cs="Times New Roman"/>
          <w:szCs w:val="24"/>
          <w:vertAlign w:val="subscript"/>
        </w:rPr>
        <w:t>2</w:t>
      </w:r>
      <w:r w:rsidRPr="00016576">
        <w:rPr>
          <w:rFonts w:eastAsia="Times New Roman" w:cs="Times New Roman"/>
          <w:szCs w:val="24"/>
        </w:rPr>
        <w:t>, and SO</w:t>
      </w:r>
      <w:r w:rsidRPr="00016576">
        <w:rPr>
          <w:rFonts w:eastAsia="Times New Roman" w:cs="Times New Roman"/>
          <w:szCs w:val="24"/>
          <w:vertAlign w:val="subscript"/>
        </w:rPr>
        <w:t>2</w:t>
      </w:r>
      <w:r w:rsidRPr="00016576">
        <w:rPr>
          <w:rFonts w:eastAsia="Times New Roman" w:cs="Times New Roman"/>
          <w:szCs w:val="24"/>
        </w:rPr>
        <w:t xml:space="preserve">. </w:t>
      </w:r>
      <w:r w:rsidRPr="00016576">
        <w:rPr>
          <w:rFonts w:eastAsia="Times New Roman" w:cs="Times New Roman"/>
          <w:szCs w:val="24"/>
        </w:rPr>
        <w:br/>
      </w:r>
      <w:r w:rsidRPr="00016576">
        <w:rPr>
          <w:rFonts w:eastAsia="Times New Roman" w:cs="Times New Roman"/>
          <w:szCs w:val="24"/>
        </w:rPr>
        <w:br/>
      </w:r>
      <w:r w:rsidRPr="00016576">
        <w:rPr>
          <w:rFonts w:eastAsia="Times New Roman" w:cs="Times New Roman"/>
          <w:b/>
          <w:bCs/>
          <w:szCs w:val="24"/>
          <w:u w:val="single"/>
        </w:rPr>
        <w:t>Action:</w:t>
      </w:r>
      <w:r w:rsidRPr="00016576">
        <w:rPr>
          <w:rFonts w:eastAsia="Times New Roman" w:cs="Times New Roman"/>
          <w:szCs w:val="24"/>
        </w:rPr>
        <w:t xml:space="preserve"> The permit can be issued based on this modeling analysis.</w:t>
      </w:r>
      <w:r w:rsidRPr="00016576">
        <w:rPr>
          <w:rFonts w:eastAsia="Times New Roman" w:cs="Times New Roman"/>
          <w:szCs w:val="24"/>
        </w:rPr>
        <w:br/>
      </w:r>
      <w:r w:rsidRPr="00016576">
        <w:rPr>
          <w:rFonts w:eastAsia="Times New Roman" w:cs="Times New Roman"/>
          <w:szCs w:val="24"/>
        </w:rPr>
        <w:br/>
        <w:t>Modeling report submitted by Alliant Environmental, LLC (dated 7/20/2018)</w:t>
      </w:r>
      <w:r w:rsidR="00B14C09">
        <w:rPr>
          <w:rFonts w:eastAsia="Times New Roman" w:cs="Times New Roman"/>
          <w:szCs w:val="24"/>
        </w:rPr>
        <w:t>. Revised modeling was submitted 11/9/2018.</w:t>
      </w:r>
      <w:r w:rsidRPr="00016576">
        <w:rPr>
          <w:rFonts w:eastAsia="Times New Roman" w:cs="Times New Roman"/>
          <w:szCs w:val="24"/>
        </w:rPr>
        <w:br/>
        <w:t>The air quality analysis demonstrates compliance with applicable regulatory requirements.</w:t>
      </w:r>
      <w:r w:rsidRPr="00016576">
        <w:rPr>
          <w:rFonts w:eastAsia="Times New Roman" w:cs="Times New Roman"/>
          <w:szCs w:val="24"/>
        </w:rPr>
        <w:br/>
      </w:r>
      <w:r w:rsidRPr="00016576">
        <w:rPr>
          <w:rFonts w:eastAsia="Times New Roman" w:cs="Times New Roman"/>
          <w:szCs w:val="24"/>
        </w:rPr>
        <w:br/>
        <w:t>Model(s) Used: AERMOD was used to run the modeling analysis.</w:t>
      </w:r>
      <w:r w:rsidRPr="00016576">
        <w:rPr>
          <w:rFonts w:eastAsia="Times New Roman" w:cs="Times New Roman"/>
          <w:szCs w:val="24"/>
        </w:rPr>
        <w:br/>
      </w:r>
      <w:r w:rsidRPr="00016576">
        <w:rPr>
          <w:rFonts w:eastAsia="Times New Roman" w:cs="Times New Roman"/>
          <w:szCs w:val="24"/>
        </w:rPr>
        <w:br/>
      </w:r>
      <w:r w:rsidRPr="00016576">
        <w:rPr>
          <w:rFonts w:eastAsia="Times New Roman" w:cs="Times New Roman"/>
          <w:b/>
          <w:bCs/>
          <w:szCs w:val="24"/>
          <w:u w:val="single"/>
        </w:rPr>
        <w:t>Note:</w:t>
      </w:r>
      <w:r w:rsidRPr="00016576">
        <w:rPr>
          <w:rFonts w:eastAsia="Times New Roman" w:cs="Times New Roman"/>
          <w:szCs w:val="24"/>
        </w:rPr>
        <w:t xml:space="preserve"> Complete modeling input and output files can be made available and are located in the Modeling Archives in the folder, "3449M5_Lea Power Partners, </w:t>
      </w:r>
      <w:proofErr w:type="spellStart"/>
      <w:r w:rsidRPr="00016576">
        <w:rPr>
          <w:rFonts w:eastAsia="Times New Roman" w:cs="Times New Roman"/>
          <w:szCs w:val="24"/>
        </w:rPr>
        <w:t>LLC_Hobbs</w:t>
      </w:r>
      <w:proofErr w:type="spellEnd"/>
      <w:r w:rsidRPr="00016576">
        <w:rPr>
          <w:rFonts w:eastAsia="Times New Roman" w:cs="Times New Roman"/>
          <w:szCs w:val="24"/>
        </w:rPr>
        <w:t xml:space="preserve"> Generating Station".</w:t>
      </w:r>
      <w:r w:rsidRPr="00016576">
        <w:rPr>
          <w:rFonts w:eastAsia="Times New Roman" w:cs="Times New Roman"/>
          <w:szCs w:val="24"/>
        </w:rPr>
        <w:br/>
      </w:r>
      <w:r w:rsidRPr="00016576">
        <w:rPr>
          <w:rFonts w:eastAsia="Times New Roman" w:cs="Times New Roman"/>
          <w:szCs w:val="24"/>
        </w:rPr>
        <w:br/>
      </w:r>
      <w:r w:rsidRPr="00016576">
        <w:rPr>
          <w:rFonts w:eastAsia="Times New Roman" w:cs="Times New Roman"/>
          <w:b/>
          <w:bCs/>
          <w:szCs w:val="24"/>
          <w:u w:val="single"/>
        </w:rPr>
        <w:t>Number of Model Runs:</w:t>
      </w:r>
      <w:r w:rsidRPr="00016576">
        <w:rPr>
          <w:rFonts w:eastAsia="Times New Roman" w:cs="Times New Roman"/>
          <w:szCs w:val="24"/>
        </w:rPr>
        <w:t xml:space="preserve"> AERMOD - </w:t>
      </w:r>
      <w:r w:rsidR="00B14C09">
        <w:rPr>
          <w:rFonts w:eastAsia="Times New Roman" w:cs="Times New Roman"/>
          <w:szCs w:val="24"/>
        </w:rPr>
        <w:t>35</w:t>
      </w:r>
      <w:r w:rsidRPr="00016576">
        <w:rPr>
          <w:rFonts w:eastAsia="Times New Roman" w:cs="Times New Roman"/>
          <w:szCs w:val="24"/>
        </w:rPr>
        <w:t xml:space="preserve"> modeling runs were reviewed by NMED.</w:t>
      </w:r>
      <w:r w:rsidRPr="00016576">
        <w:rPr>
          <w:rFonts w:eastAsia="Times New Roman" w:cs="Times New Roman"/>
          <w:szCs w:val="24"/>
        </w:rPr>
        <w:br/>
      </w:r>
      <w:r w:rsidRPr="00016576">
        <w:rPr>
          <w:rFonts w:eastAsia="Times New Roman" w:cs="Times New Roman"/>
          <w:szCs w:val="24"/>
        </w:rPr>
        <w:br/>
      </w:r>
      <w:r w:rsidRPr="00016576">
        <w:rPr>
          <w:rFonts w:eastAsia="Times New Roman" w:cs="Times New Roman"/>
          <w:b/>
          <w:bCs/>
          <w:szCs w:val="24"/>
          <w:u w:val="single"/>
        </w:rPr>
        <w:t>Modeling Parameters:</w:t>
      </w:r>
      <w:r w:rsidRPr="00016576">
        <w:rPr>
          <w:rFonts w:eastAsia="Times New Roman" w:cs="Times New Roman"/>
          <w:szCs w:val="24"/>
        </w:rPr>
        <w:br/>
        <w:t>The AERMOD regulatory default parameters were included in assumptions made by the model.</w:t>
      </w:r>
      <w:r w:rsidRPr="00016576">
        <w:rPr>
          <w:rFonts w:eastAsia="Times New Roman" w:cs="Times New Roman"/>
          <w:szCs w:val="24"/>
        </w:rPr>
        <w:br/>
      </w:r>
      <w:r w:rsidRPr="00016576">
        <w:rPr>
          <w:rFonts w:eastAsia="Times New Roman" w:cs="Times New Roman"/>
          <w:szCs w:val="24"/>
        </w:rPr>
        <w:br/>
        <w:t>Building downwash produced by buildings at the facility was considered. The following buildings were included in the modeling.</w:t>
      </w:r>
      <w:r w:rsidRPr="00016576">
        <w:rPr>
          <w:rFonts w:eastAsia="Times New Roman" w:cs="Times New Roman"/>
          <w:szCs w:val="24"/>
        </w:rPr>
        <w:br/>
      </w:r>
      <w:r w:rsidRPr="00016576">
        <w:rPr>
          <w:rFonts w:eastAsia="Times New Roman" w:cs="Times New Roman"/>
          <w:szCs w:val="24"/>
        </w:rPr>
        <w:br/>
      </w:r>
      <w:r w:rsidRPr="00016576">
        <w:rPr>
          <w:rFonts w:eastAsia="Times New Roman" w:cs="Times New Roman"/>
          <w:b/>
          <w:bCs/>
          <w:szCs w:val="24"/>
          <w:u w:val="single"/>
        </w:rPr>
        <w:t>Table 3: Table of Buildings</w:t>
      </w:r>
    </w:p>
    <w:p w:rsidR="002078AE" w:rsidRDefault="002078AE" w:rsidP="00016576">
      <w:pPr>
        <w:spacing w:after="0" w:line="240" w:lineRule="auto"/>
        <w:rPr>
          <w:rFonts w:eastAsia="Times New Roman" w:cs="Times New Roman"/>
          <w:szCs w:val="24"/>
        </w:rPr>
        <w:sectPr w:rsidR="002078AE">
          <w:headerReference w:type="default" r:id="rId6"/>
          <w:footerReference w:type="default" r:id="rId7"/>
          <w:pgSz w:w="12240" w:h="15840"/>
          <w:pgMar w:top="1440" w:right="1440" w:bottom="1440" w:left="1440" w:header="720" w:footer="720" w:gutter="0"/>
          <w:cols w:space="720"/>
          <w:docGrid w:linePitch="360"/>
        </w:sect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37"/>
        <w:gridCol w:w="1028"/>
        <w:gridCol w:w="1839"/>
      </w:tblGrid>
      <w:tr w:rsidR="00016576" w:rsidRPr="00016576" w:rsidTr="002078AE">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Building Name</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Height (m)</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Diagonal Length (m)</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ADMIN</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6.1</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41.3</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AI_01</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4.6</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19.0</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AI_02</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4.6</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18.6</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AUX</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15.2</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23.0</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CHILLER1</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15.2</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22.0</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CHILLER2</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15.2</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22.0</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CHILLER3</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15.2</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22.0</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CONTROL</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6.1</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30.9</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FHBLDG</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3.7</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14.5</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HRSGA1</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25.8</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32.5</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HRSGA2</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25.8</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15.6</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HRSGB1</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25.8</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32.4</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HRSGB2</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25.8</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15.4</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proofErr w:type="spellStart"/>
            <w:r w:rsidRPr="00016576">
              <w:rPr>
                <w:rFonts w:eastAsia="Times New Roman" w:cs="Times New Roman"/>
                <w:sz w:val="22"/>
              </w:rPr>
              <w:t>MakeUpW</w:t>
            </w:r>
            <w:proofErr w:type="spellEnd"/>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6.1</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28.9</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SHOPBLDG</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15.2</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42.5</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STEAM</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17.7</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75.4</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TK_01</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10.7</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12.2</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TK_02</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10.7</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12.2</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TK_03</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10.7</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26.8</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TK_04</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10.7</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19.2</w:t>
            </w:r>
          </w:p>
        </w:tc>
      </w:tr>
      <w:tr w:rsidR="00016576" w:rsidRPr="00016576" w:rsidTr="002078A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TK_05</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10.7</w:t>
            </w:r>
          </w:p>
        </w:tc>
        <w:tc>
          <w:tcPr>
            <w:tcW w:w="0" w:type="auto"/>
            <w:tcBorders>
              <w:top w:val="outset" w:sz="6" w:space="0" w:color="auto"/>
              <w:left w:val="outset" w:sz="6" w:space="0" w:color="auto"/>
              <w:bottom w:val="outset" w:sz="6" w:space="0" w:color="auto"/>
              <w:right w:val="outset" w:sz="6" w:space="0" w:color="auto"/>
            </w:tcBorders>
            <w:tcMar>
              <w:top w:w="29" w:type="dxa"/>
              <w:left w:w="29" w:type="dxa"/>
              <w:bottom w:w="29" w:type="dxa"/>
              <w:right w:w="29" w:type="dxa"/>
            </w:tcMar>
            <w:vAlign w:val="center"/>
            <w:hideMark/>
          </w:tcPr>
          <w:p w:rsidR="00016576" w:rsidRPr="00016576" w:rsidRDefault="00016576" w:rsidP="002078AE">
            <w:pPr>
              <w:spacing w:after="0" w:line="240" w:lineRule="auto"/>
              <w:jc w:val="center"/>
              <w:rPr>
                <w:rFonts w:eastAsia="Times New Roman" w:cs="Times New Roman"/>
                <w:sz w:val="22"/>
              </w:rPr>
            </w:pPr>
            <w:r w:rsidRPr="00016576">
              <w:rPr>
                <w:rFonts w:eastAsia="Times New Roman" w:cs="Times New Roman"/>
                <w:sz w:val="22"/>
              </w:rPr>
              <w:t>34.0</w:t>
            </w:r>
          </w:p>
        </w:tc>
      </w:tr>
    </w:tbl>
    <w:p w:rsidR="002078AE" w:rsidRDefault="002078AE" w:rsidP="00016576">
      <w:pPr>
        <w:spacing w:after="0" w:line="240" w:lineRule="auto"/>
        <w:rPr>
          <w:rFonts w:eastAsia="Times New Roman" w:cs="Times New Roman"/>
          <w:szCs w:val="24"/>
        </w:rPr>
        <w:sectPr w:rsidR="002078AE" w:rsidSect="002078AE">
          <w:type w:val="continuous"/>
          <w:pgSz w:w="12240" w:h="15840"/>
          <w:pgMar w:top="1440" w:right="1440" w:bottom="1440" w:left="1440" w:header="720" w:footer="720" w:gutter="0"/>
          <w:cols w:num="2" w:space="720"/>
          <w:docGrid w:linePitch="360"/>
        </w:sectPr>
      </w:pPr>
    </w:p>
    <w:p w:rsidR="00016576" w:rsidRPr="00016576" w:rsidRDefault="00016576" w:rsidP="00016576">
      <w:pPr>
        <w:spacing w:after="0" w:line="240" w:lineRule="auto"/>
        <w:rPr>
          <w:rFonts w:eastAsia="Times New Roman" w:cs="Times New Roman"/>
          <w:szCs w:val="24"/>
        </w:rPr>
      </w:pPr>
      <w:r w:rsidRPr="00016576">
        <w:rPr>
          <w:rFonts w:eastAsia="Times New Roman" w:cs="Times New Roman"/>
          <w:b/>
          <w:bCs/>
          <w:szCs w:val="24"/>
          <w:u w:val="single"/>
        </w:rPr>
        <w:lastRenderedPageBreak/>
        <w:t>Complex Terrain Data:</w:t>
      </w:r>
      <w:r w:rsidRPr="00016576">
        <w:rPr>
          <w:rFonts w:eastAsia="Times New Roman" w:cs="Times New Roman"/>
          <w:szCs w:val="24"/>
        </w:rPr>
        <w:br/>
        <w:t>Both simple and complex types of terrain were used to model the facility. Elevations of receptors, facility sources, and surrounding sources were obtained from digitized USGS 7.5-minute maps and one-degree maps.</w:t>
      </w:r>
      <w:r w:rsidRPr="00016576">
        <w:rPr>
          <w:rFonts w:eastAsia="Times New Roman" w:cs="Times New Roman"/>
          <w:szCs w:val="24"/>
        </w:rPr>
        <w:br/>
      </w:r>
      <w:r w:rsidRPr="00016576">
        <w:rPr>
          <w:rFonts w:eastAsia="Times New Roman" w:cs="Times New Roman"/>
          <w:szCs w:val="24"/>
        </w:rPr>
        <w:br/>
      </w:r>
      <w:r w:rsidRPr="00016576">
        <w:rPr>
          <w:rFonts w:eastAsia="Times New Roman" w:cs="Times New Roman"/>
          <w:b/>
          <w:bCs/>
          <w:szCs w:val="24"/>
          <w:u w:val="single"/>
        </w:rPr>
        <w:t>Receptor Grid:</w:t>
      </w:r>
      <w:r w:rsidRPr="00016576">
        <w:rPr>
          <w:rFonts w:eastAsia="Times New Roman" w:cs="Times New Roman"/>
          <w:szCs w:val="24"/>
        </w:rPr>
        <w:t xml:space="preserve"> The following grids were used to determine the maximum concentration for each pollutant.</w:t>
      </w:r>
      <w:r w:rsidRPr="00016576">
        <w:rPr>
          <w:rFonts w:eastAsia="Times New Roman" w:cs="Times New Roman"/>
          <w:szCs w:val="24"/>
        </w:rPr>
        <w:br/>
      </w:r>
      <w:r w:rsidRPr="00016576">
        <w:rPr>
          <w:rFonts w:eastAsia="Times New Roman" w:cs="Times New Roman"/>
          <w:szCs w:val="24"/>
        </w:rPr>
        <w:br/>
      </w:r>
      <w:r w:rsidRPr="00016576">
        <w:rPr>
          <w:rFonts w:eastAsia="Times New Roman" w:cs="Times New Roman"/>
          <w:b/>
          <w:bCs/>
          <w:szCs w:val="24"/>
          <w:u w:val="single"/>
        </w:rPr>
        <w:t>Table 4: Table of Receptors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35"/>
        <w:gridCol w:w="1347"/>
        <w:gridCol w:w="1127"/>
        <w:gridCol w:w="1314"/>
        <w:gridCol w:w="1635"/>
      </w:tblGrid>
      <w:tr w:rsidR="00EA7187" w:rsidRPr="00016576" w:rsidTr="00EA7187">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Grid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Shape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Spacing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Length</w:t>
            </w:r>
          </w:p>
        </w:tc>
      </w:tr>
      <w:tr w:rsidR="00EA7187" w:rsidRPr="00016576" w:rsidTr="00EA71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Cartesian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Rough</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1000 meters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EA7187" w:rsidP="00EA7187">
            <w:pPr>
              <w:spacing w:after="0" w:line="240" w:lineRule="auto"/>
              <w:jc w:val="center"/>
              <w:rPr>
                <w:rFonts w:eastAsia="Times New Roman" w:cs="Times New Roman"/>
                <w:szCs w:val="24"/>
              </w:rPr>
            </w:pPr>
            <w:r w:rsidRPr="00EA7187">
              <w:rPr>
                <w:rFonts w:eastAsia="Times New Roman" w:cs="Times New Roman"/>
                <w:szCs w:val="24"/>
              </w:rPr>
              <w:t>22</w:t>
            </w:r>
            <w:r w:rsidR="00016576" w:rsidRPr="00016576">
              <w:rPr>
                <w:rFonts w:eastAsia="Times New Roman" w:cs="Times New Roman"/>
                <w:szCs w:val="24"/>
              </w:rPr>
              <w:t xml:space="preserve"> kilometers</w:t>
            </w:r>
          </w:p>
        </w:tc>
      </w:tr>
      <w:tr w:rsidR="00EA7187" w:rsidRPr="00016576" w:rsidTr="00EA71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Cartesian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Intermediate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500 meters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EA7187" w:rsidP="00EA7187">
            <w:pPr>
              <w:spacing w:after="0" w:line="240" w:lineRule="auto"/>
              <w:jc w:val="center"/>
              <w:rPr>
                <w:rFonts w:eastAsia="Times New Roman" w:cs="Times New Roman"/>
                <w:szCs w:val="24"/>
              </w:rPr>
            </w:pPr>
            <w:r w:rsidRPr="00EA7187">
              <w:rPr>
                <w:rFonts w:eastAsia="Times New Roman" w:cs="Times New Roman"/>
                <w:szCs w:val="24"/>
              </w:rPr>
              <w:t>11.5</w:t>
            </w:r>
            <w:r w:rsidR="00016576" w:rsidRPr="00016576">
              <w:rPr>
                <w:rFonts w:eastAsia="Times New Roman" w:cs="Times New Roman"/>
                <w:szCs w:val="24"/>
              </w:rPr>
              <w:t xml:space="preserve"> kilometers</w:t>
            </w:r>
          </w:p>
        </w:tc>
      </w:tr>
      <w:tr w:rsidR="00EA7187" w:rsidRPr="00016576" w:rsidTr="00EA71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Cartesian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Intermediate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250 meters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EA7187" w:rsidP="00EA7187">
            <w:pPr>
              <w:spacing w:after="0" w:line="240" w:lineRule="auto"/>
              <w:jc w:val="center"/>
              <w:rPr>
                <w:rFonts w:eastAsia="Times New Roman" w:cs="Times New Roman"/>
                <w:szCs w:val="24"/>
              </w:rPr>
            </w:pPr>
            <w:r w:rsidRPr="00EA7187">
              <w:rPr>
                <w:rFonts w:eastAsia="Times New Roman" w:cs="Times New Roman"/>
                <w:szCs w:val="24"/>
              </w:rPr>
              <w:t>6</w:t>
            </w:r>
            <w:r w:rsidR="00016576" w:rsidRPr="00016576">
              <w:rPr>
                <w:rFonts w:eastAsia="Times New Roman" w:cs="Times New Roman"/>
                <w:szCs w:val="24"/>
              </w:rPr>
              <w:t xml:space="preserve"> kilometers</w:t>
            </w:r>
          </w:p>
        </w:tc>
      </w:tr>
      <w:tr w:rsidR="00EA7187" w:rsidRPr="00016576" w:rsidTr="00EA71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Cartesian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Fine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100 meters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2</w:t>
            </w:r>
            <w:r w:rsidR="00EA7187" w:rsidRPr="00EA7187">
              <w:rPr>
                <w:rFonts w:eastAsia="Times New Roman" w:cs="Times New Roman"/>
                <w:szCs w:val="24"/>
              </w:rPr>
              <w:t>.7</w:t>
            </w:r>
            <w:r w:rsidRPr="00016576">
              <w:rPr>
                <w:rFonts w:eastAsia="Times New Roman" w:cs="Times New Roman"/>
                <w:szCs w:val="24"/>
              </w:rPr>
              <w:t xml:space="preserve"> kilometers</w:t>
            </w:r>
          </w:p>
        </w:tc>
      </w:tr>
      <w:tr w:rsidR="00EA7187" w:rsidRPr="00016576" w:rsidTr="00EA718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Fence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Very fine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Fence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50 meters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576" w:rsidRPr="00016576" w:rsidRDefault="00016576" w:rsidP="00EA7187">
            <w:pPr>
              <w:spacing w:after="0" w:line="240" w:lineRule="auto"/>
              <w:jc w:val="center"/>
              <w:rPr>
                <w:rFonts w:eastAsia="Times New Roman" w:cs="Times New Roman"/>
                <w:szCs w:val="24"/>
              </w:rPr>
            </w:pPr>
            <w:r w:rsidRPr="00016576">
              <w:rPr>
                <w:rFonts w:eastAsia="Times New Roman" w:cs="Times New Roman"/>
                <w:szCs w:val="24"/>
              </w:rPr>
              <w:t>Fence line</w:t>
            </w:r>
          </w:p>
        </w:tc>
      </w:tr>
    </w:tbl>
    <w:p w:rsidR="00CA7C1F" w:rsidRDefault="00016576" w:rsidP="00016576">
      <w:pPr>
        <w:spacing w:after="0" w:line="240" w:lineRule="auto"/>
        <w:rPr>
          <w:rFonts w:eastAsia="Times New Roman" w:cs="Times New Roman"/>
          <w:szCs w:val="24"/>
        </w:rPr>
      </w:pPr>
      <w:r w:rsidRPr="00016576">
        <w:rPr>
          <w:rFonts w:eastAsia="Times New Roman" w:cs="Times New Roman"/>
          <w:szCs w:val="24"/>
        </w:rPr>
        <w:br/>
      </w:r>
      <w:r w:rsidRPr="00016576">
        <w:rPr>
          <w:rFonts w:eastAsia="Times New Roman" w:cs="Times New Roman"/>
          <w:b/>
          <w:bCs/>
          <w:szCs w:val="24"/>
          <w:u w:val="single"/>
        </w:rPr>
        <w:t>Meteorological Data:</w:t>
      </w:r>
      <w:r w:rsidRPr="00016576">
        <w:rPr>
          <w:rFonts w:eastAsia="Times New Roman" w:cs="Times New Roman"/>
          <w:szCs w:val="24"/>
        </w:rPr>
        <w:t xml:space="preserve"> AERMOD – </w:t>
      </w:r>
      <w:r w:rsidR="007A4715" w:rsidRPr="00EA7187">
        <w:rPr>
          <w:rFonts w:eastAsia="Times New Roman" w:cs="Times New Roman"/>
          <w:szCs w:val="24"/>
        </w:rPr>
        <w:t xml:space="preserve">Hobbs with </w:t>
      </w:r>
      <w:r w:rsidRPr="00016576">
        <w:rPr>
          <w:rFonts w:eastAsia="Times New Roman" w:cs="Times New Roman"/>
          <w:szCs w:val="24"/>
        </w:rPr>
        <w:t>Artesia</w:t>
      </w:r>
      <w:r w:rsidR="007A4715" w:rsidRPr="00EA7187">
        <w:rPr>
          <w:rFonts w:eastAsia="Times New Roman" w:cs="Times New Roman"/>
          <w:szCs w:val="24"/>
        </w:rPr>
        <w:t xml:space="preserve"> </w:t>
      </w:r>
      <w:r w:rsidRPr="00016576">
        <w:rPr>
          <w:rFonts w:eastAsia="Times New Roman" w:cs="Times New Roman"/>
          <w:szCs w:val="24"/>
        </w:rPr>
        <w:t>NWS</w:t>
      </w:r>
      <w:r w:rsidR="007A4715" w:rsidRPr="00EA7187">
        <w:rPr>
          <w:rFonts w:eastAsia="Times New Roman" w:cs="Times New Roman"/>
          <w:szCs w:val="24"/>
        </w:rPr>
        <w:t xml:space="preserve"> to substitute for missing data and </w:t>
      </w:r>
      <w:r w:rsidR="007A4715">
        <w:rPr>
          <w:rFonts w:eastAsia="Times New Roman" w:cs="Times New Roman"/>
          <w:szCs w:val="24"/>
        </w:rPr>
        <w:t xml:space="preserve">Midland, TX upper air. Three years, </w:t>
      </w:r>
      <w:r w:rsidRPr="00016576">
        <w:rPr>
          <w:rFonts w:eastAsia="Times New Roman" w:cs="Times New Roman"/>
          <w:szCs w:val="24"/>
        </w:rPr>
        <w:t>2013</w:t>
      </w:r>
      <w:r w:rsidR="007A4715">
        <w:rPr>
          <w:rFonts w:eastAsia="Times New Roman" w:cs="Times New Roman"/>
          <w:szCs w:val="24"/>
        </w:rPr>
        <w:t xml:space="preserve"> to </w:t>
      </w:r>
      <w:r w:rsidRPr="00016576">
        <w:rPr>
          <w:rFonts w:eastAsia="Times New Roman" w:cs="Times New Roman"/>
          <w:szCs w:val="24"/>
        </w:rPr>
        <w:t>2015.</w:t>
      </w:r>
      <w:r w:rsidR="007A4715" w:rsidRPr="00016576">
        <w:rPr>
          <w:rFonts w:eastAsia="Times New Roman" w:cs="Times New Roman"/>
          <w:szCs w:val="24"/>
        </w:rPr>
        <w:t xml:space="preserve"> </w:t>
      </w:r>
      <w:r w:rsidRPr="00016576">
        <w:rPr>
          <w:rFonts w:eastAsia="Times New Roman" w:cs="Times New Roman"/>
          <w:szCs w:val="24"/>
        </w:rPr>
        <w:br/>
      </w:r>
      <w:r w:rsidRPr="00016576">
        <w:rPr>
          <w:rFonts w:eastAsia="Times New Roman" w:cs="Times New Roman"/>
          <w:szCs w:val="24"/>
        </w:rPr>
        <w:br/>
      </w:r>
      <w:r w:rsidRPr="00016576">
        <w:rPr>
          <w:rFonts w:eastAsia="Times New Roman" w:cs="Times New Roman"/>
          <w:b/>
          <w:bCs/>
          <w:szCs w:val="24"/>
          <w:u w:val="single"/>
        </w:rPr>
        <w:t>Adjacent Sources:</w:t>
      </w:r>
      <w:r w:rsidR="00EA7187">
        <w:rPr>
          <w:rFonts w:eastAsia="Times New Roman" w:cs="Times New Roman"/>
          <w:szCs w:val="24"/>
        </w:rPr>
        <w:t xml:space="preserve">  Adjacent sources were not included in modeling because impacts from the project were below significance levels for all applicable air quality standards</w:t>
      </w:r>
      <w:r w:rsidRPr="00016576">
        <w:rPr>
          <w:rFonts w:eastAsia="Times New Roman" w:cs="Times New Roman"/>
          <w:szCs w:val="24"/>
        </w:rPr>
        <w:t xml:space="preserve">. </w:t>
      </w:r>
      <w:r w:rsidRPr="00016576">
        <w:rPr>
          <w:rFonts w:eastAsia="Times New Roman" w:cs="Times New Roman"/>
          <w:szCs w:val="24"/>
        </w:rPr>
        <w:br/>
      </w:r>
      <w:r w:rsidRPr="00016576">
        <w:rPr>
          <w:rFonts w:eastAsia="Times New Roman" w:cs="Times New Roman"/>
          <w:szCs w:val="24"/>
        </w:rPr>
        <w:br/>
      </w:r>
      <w:r w:rsidRPr="00016576">
        <w:rPr>
          <w:rFonts w:eastAsia="Times New Roman" w:cs="Times New Roman"/>
          <w:b/>
          <w:bCs/>
          <w:szCs w:val="24"/>
          <w:u w:val="single"/>
        </w:rPr>
        <w:t>Modeling Procedures:</w:t>
      </w:r>
      <w:r w:rsidRPr="00016576">
        <w:rPr>
          <w:rFonts w:eastAsia="Times New Roman" w:cs="Times New Roman"/>
          <w:szCs w:val="24"/>
        </w:rPr>
        <w:t xml:space="preserve"> Secondary PM2.5 analysis was conducted using the methods in the draft Guidance on the Development of Modeled Emission Rates for Precursors (MERPs) as a Tier 1 Demonstration Tool for Ozone and PM2.5 under the PSD Permitting Program. Results predict PM2.5 concentrations well below significance levels. </w:t>
      </w:r>
      <w:r w:rsidR="00504FC9">
        <w:rPr>
          <w:rFonts w:eastAsia="Times New Roman" w:cs="Times New Roman"/>
          <w:szCs w:val="24"/>
        </w:rPr>
        <w:t xml:space="preserve">Results are described in the PM2.5 section, below. </w:t>
      </w:r>
      <w:r w:rsidRPr="00016576">
        <w:rPr>
          <w:rFonts w:eastAsia="Times New Roman" w:cs="Times New Roman"/>
          <w:szCs w:val="24"/>
        </w:rPr>
        <w:t>See "NOx and SO2 Precursor Assessment for Additive Secondary PM2.5 I</w:t>
      </w:r>
      <w:r w:rsidR="00E01DCA">
        <w:rPr>
          <w:rFonts w:eastAsia="Times New Roman" w:cs="Times New Roman"/>
          <w:szCs w:val="24"/>
        </w:rPr>
        <w:t>mpacts Along with Direct PM2.5"</w:t>
      </w:r>
      <w:r w:rsidRPr="00016576">
        <w:rPr>
          <w:rFonts w:eastAsia="Times New Roman" w:cs="Times New Roman"/>
          <w:szCs w:val="24"/>
        </w:rPr>
        <w:t xml:space="preserve"> in the application for more details.</w:t>
      </w:r>
      <w:r w:rsidRPr="00016576">
        <w:rPr>
          <w:rFonts w:eastAsia="Times New Roman" w:cs="Times New Roman"/>
          <w:szCs w:val="24"/>
        </w:rPr>
        <w:br/>
      </w:r>
      <w:r w:rsidRPr="00016576">
        <w:rPr>
          <w:rFonts w:eastAsia="Times New Roman" w:cs="Times New Roman"/>
          <w:szCs w:val="24"/>
        </w:rPr>
        <w:br/>
      </w:r>
      <w:r w:rsidRPr="00016576">
        <w:rPr>
          <w:rFonts w:eastAsia="Times New Roman" w:cs="Times New Roman"/>
          <w:b/>
          <w:bCs/>
          <w:szCs w:val="24"/>
          <w:u w:val="single"/>
        </w:rPr>
        <w:t>PSD Increment Information:</w:t>
      </w:r>
      <w:r w:rsidRPr="00016576">
        <w:rPr>
          <w:rFonts w:eastAsia="Times New Roman" w:cs="Times New Roman"/>
          <w:szCs w:val="24"/>
        </w:rPr>
        <w:br/>
        <w:t>The facility is a PSD major source located in AQCR 155. The major source baseline dates here are 2/8/1988 for NO</w:t>
      </w:r>
      <w:r w:rsidRPr="00016576">
        <w:rPr>
          <w:rFonts w:eastAsia="Times New Roman" w:cs="Times New Roman"/>
          <w:szCs w:val="24"/>
          <w:vertAlign w:val="subscript"/>
        </w:rPr>
        <w:t>2</w:t>
      </w:r>
      <w:r w:rsidRPr="00016576">
        <w:rPr>
          <w:rFonts w:eastAsia="Times New Roman" w:cs="Times New Roman"/>
          <w:szCs w:val="24"/>
        </w:rPr>
        <w:t>, 1/6/1975 for SO</w:t>
      </w:r>
      <w:r w:rsidRPr="00016576">
        <w:rPr>
          <w:rFonts w:eastAsia="Times New Roman" w:cs="Times New Roman"/>
          <w:szCs w:val="24"/>
          <w:vertAlign w:val="subscript"/>
        </w:rPr>
        <w:t>2</w:t>
      </w:r>
      <w:r w:rsidRPr="00016576">
        <w:rPr>
          <w:rFonts w:eastAsia="Times New Roman" w:cs="Times New Roman"/>
          <w:szCs w:val="24"/>
        </w:rPr>
        <w:t>, 1/6/1975 for PM10, and 10/20/2010 for PM2.5.</w:t>
      </w:r>
      <w:r w:rsidRPr="00016576">
        <w:rPr>
          <w:rFonts w:eastAsia="Times New Roman" w:cs="Times New Roman"/>
          <w:szCs w:val="24"/>
        </w:rPr>
        <w:br/>
        <w:t>The minor source baseline dates here are 3/16/1988 for NO</w:t>
      </w:r>
      <w:r w:rsidRPr="00016576">
        <w:rPr>
          <w:rFonts w:eastAsia="Times New Roman" w:cs="Times New Roman"/>
          <w:szCs w:val="24"/>
          <w:vertAlign w:val="subscript"/>
        </w:rPr>
        <w:t>2</w:t>
      </w:r>
      <w:r w:rsidRPr="00016576">
        <w:rPr>
          <w:rFonts w:eastAsia="Times New Roman" w:cs="Times New Roman"/>
          <w:szCs w:val="24"/>
        </w:rPr>
        <w:t>, 7/28/1978 for SO</w:t>
      </w:r>
      <w:r w:rsidRPr="00016576">
        <w:rPr>
          <w:rFonts w:eastAsia="Times New Roman" w:cs="Times New Roman"/>
          <w:szCs w:val="24"/>
          <w:vertAlign w:val="subscript"/>
        </w:rPr>
        <w:t>2</w:t>
      </w:r>
      <w:r w:rsidRPr="00016576">
        <w:rPr>
          <w:rFonts w:eastAsia="Times New Roman" w:cs="Times New Roman"/>
          <w:szCs w:val="24"/>
        </w:rPr>
        <w:t>, 2/20/1979 for PM10, and 11/13/2013 for PM2.5.</w:t>
      </w:r>
    </w:p>
    <w:p w:rsidR="00CA7C1F" w:rsidRDefault="00016576" w:rsidP="00016576">
      <w:pPr>
        <w:spacing w:after="0" w:line="240" w:lineRule="auto"/>
        <w:rPr>
          <w:rFonts w:eastAsia="Times New Roman" w:cs="Times New Roman"/>
          <w:b/>
          <w:bCs/>
          <w:szCs w:val="24"/>
          <w:u w:val="single"/>
        </w:rPr>
      </w:pPr>
      <w:r w:rsidRPr="00016576">
        <w:rPr>
          <w:rFonts w:eastAsia="Times New Roman" w:cs="Times New Roman"/>
          <w:szCs w:val="24"/>
        </w:rPr>
        <w:br/>
        <w:t>The facility is 116.3 km from the Class I area Carlsbad Caverns National Park. The facility is 135.8 km from the Class I area Salt Creek. The facility is 157.1 km from the Class I area Guadalupe Mountains National Park. The facility is 234.4 km from the Class I area White Mountain Wilderness Area. Class I area impacts are expected to be small for PSD major sources over 100 km from a Class I area. Modeling may not be required unless requ</w:t>
      </w:r>
      <w:r w:rsidR="00CA7C1F">
        <w:rPr>
          <w:rFonts w:eastAsia="Times New Roman" w:cs="Times New Roman"/>
          <w:szCs w:val="24"/>
        </w:rPr>
        <w:t>ested by Federal Land Managers.</w:t>
      </w:r>
      <w:r w:rsidRPr="00016576">
        <w:rPr>
          <w:rFonts w:eastAsia="Times New Roman" w:cs="Times New Roman"/>
          <w:szCs w:val="24"/>
        </w:rPr>
        <w:br/>
      </w:r>
    </w:p>
    <w:p w:rsidR="00CA7C1F" w:rsidRDefault="00CA7C1F">
      <w:pPr>
        <w:rPr>
          <w:rFonts w:eastAsia="Times New Roman" w:cs="Times New Roman"/>
          <w:b/>
          <w:bCs/>
          <w:szCs w:val="24"/>
          <w:u w:val="single"/>
        </w:rPr>
      </w:pPr>
      <w:r>
        <w:rPr>
          <w:rFonts w:eastAsia="Times New Roman" w:cs="Times New Roman"/>
          <w:b/>
          <w:bCs/>
          <w:szCs w:val="24"/>
          <w:u w:val="single"/>
        </w:rPr>
        <w:br w:type="page"/>
      </w:r>
    </w:p>
    <w:p w:rsidR="00CA7C1F" w:rsidRDefault="00016576" w:rsidP="00016576">
      <w:pPr>
        <w:spacing w:after="0" w:line="240" w:lineRule="auto"/>
        <w:rPr>
          <w:rFonts w:eastAsia="Times New Roman" w:cs="Times New Roman"/>
          <w:b/>
          <w:bCs/>
          <w:szCs w:val="24"/>
          <w:u w:val="single"/>
        </w:rPr>
      </w:pPr>
      <w:r w:rsidRPr="00016576">
        <w:rPr>
          <w:rFonts w:eastAsia="Times New Roman" w:cs="Times New Roman"/>
          <w:b/>
          <w:bCs/>
          <w:szCs w:val="24"/>
          <w:u w:val="single"/>
        </w:rPr>
        <w:lastRenderedPageBreak/>
        <w:t>Results Discussion:</w:t>
      </w:r>
    </w:p>
    <w:p w:rsidR="00CA7C1F" w:rsidRDefault="00016576" w:rsidP="00016576">
      <w:pPr>
        <w:spacing w:after="0" w:line="240" w:lineRule="auto"/>
        <w:rPr>
          <w:rFonts w:eastAsia="Times New Roman" w:cs="Times New Roman"/>
          <w:color w:val="FF0000"/>
          <w:szCs w:val="24"/>
        </w:rPr>
      </w:pPr>
      <w:r w:rsidRPr="00016576">
        <w:rPr>
          <w:rFonts w:eastAsia="Times New Roman" w:cs="Times New Roman"/>
          <w:szCs w:val="24"/>
        </w:rPr>
        <w:br/>
      </w:r>
      <w:r w:rsidRPr="00016576">
        <w:rPr>
          <w:rFonts w:eastAsia="Times New Roman" w:cs="Times New Roman"/>
          <w:b/>
          <w:bCs/>
          <w:szCs w:val="24"/>
          <w:u w:val="single"/>
        </w:rPr>
        <w:t>NO</w:t>
      </w:r>
      <w:r w:rsidRPr="00016576">
        <w:rPr>
          <w:rFonts w:eastAsia="Times New Roman" w:cs="Times New Roman"/>
          <w:b/>
          <w:bCs/>
          <w:szCs w:val="24"/>
          <w:u w:val="single"/>
          <w:vertAlign w:val="subscript"/>
        </w:rPr>
        <w:t>2</w:t>
      </w:r>
      <w:r w:rsidRPr="00016576">
        <w:rPr>
          <w:rFonts w:eastAsia="Times New Roman" w:cs="Times New Roman"/>
          <w:b/>
          <w:bCs/>
          <w:szCs w:val="24"/>
          <w:u w:val="single"/>
        </w:rPr>
        <w:t xml:space="preserve"> Analysis</w:t>
      </w:r>
      <w:r w:rsidRPr="00016576">
        <w:rPr>
          <w:rFonts w:eastAsia="Times New Roman" w:cs="Times New Roman"/>
          <w:szCs w:val="24"/>
        </w:rPr>
        <w:t>:</w:t>
      </w:r>
      <w:r w:rsidRPr="00016576">
        <w:rPr>
          <w:rFonts w:eastAsia="Times New Roman" w:cs="Times New Roman"/>
          <w:szCs w:val="24"/>
        </w:rPr>
        <w:br/>
        <w:t>ARM2 was used with default options (0.5 minimum ratio, 0.9 maximum ratio) to determine the conversion of NO</w:t>
      </w:r>
      <w:r w:rsidRPr="00016576">
        <w:rPr>
          <w:rFonts w:eastAsia="Times New Roman" w:cs="Times New Roman"/>
          <w:szCs w:val="24"/>
          <w:vertAlign w:val="subscript"/>
        </w:rPr>
        <w:t>X</w:t>
      </w:r>
      <w:r w:rsidRPr="00016576">
        <w:rPr>
          <w:rFonts w:eastAsia="Times New Roman" w:cs="Times New Roman"/>
          <w:szCs w:val="24"/>
        </w:rPr>
        <w:t xml:space="preserve"> to NO</w:t>
      </w:r>
      <w:r w:rsidRPr="00016576">
        <w:rPr>
          <w:rFonts w:eastAsia="Times New Roman" w:cs="Times New Roman"/>
          <w:szCs w:val="24"/>
          <w:vertAlign w:val="subscript"/>
        </w:rPr>
        <w:t>2</w:t>
      </w:r>
      <w:r w:rsidRPr="00016576">
        <w:rPr>
          <w:rFonts w:eastAsia="Times New Roman" w:cs="Times New Roman"/>
          <w:szCs w:val="24"/>
        </w:rPr>
        <w:t>.</w:t>
      </w:r>
      <w:r w:rsidRPr="00016576">
        <w:rPr>
          <w:rFonts w:eastAsia="Times New Roman" w:cs="Times New Roman"/>
          <w:szCs w:val="24"/>
        </w:rPr>
        <w:br/>
      </w:r>
    </w:p>
    <w:p w:rsidR="00CA7C1F" w:rsidRDefault="00016576" w:rsidP="00016576">
      <w:pPr>
        <w:spacing w:after="0" w:line="240" w:lineRule="auto"/>
        <w:rPr>
          <w:rFonts w:eastAsia="Times New Roman" w:cs="Times New Roman"/>
          <w:szCs w:val="24"/>
        </w:rPr>
      </w:pPr>
      <w:r w:rsidRPr="00016576">
        <w:rPr>
          <w:rFonts w:eastAsia="Times New Roman" w:cs="Times New Roman"/>
          <w:szCs w:val="24"/>
        </w:rPr>
        <w:t>The annual NO</w:t>
      </w:r>
      <w:r w:rsidRPr="00016576">
        <w:rPr>
          <w:rFonts w:eastAsia="Times New Roman" w:cs="Times New Roman"/>
          <w:szCs w:val="24"/>
          <w:vertAlign w:val="subscript"/>
        </w:rPr>
        <w:t>2</w:t>
      </w:r>
      <w:r w:rsidRPr="00016576">
        <w:rPr>
          <w:rFonts w:eastAsia="Times New Roman" w:cs="Times New Roman"/>
          <w:szCs w:val="24"/>
        </w:rPr>
        <w:t xml:space="preserve"> concentration was below the significance level. No cumulative analysis is required. </w:t>
      </w:r>
      <w:r w:rsidR="00AF010B">
        <w:t>The maximum source alone annual NO</w:t>
      </w:r>
      <w:r w:rsidR="00AF010B">
        <w:rPr>
          <w:vertAlign w:val="subscript"/>
        </w:rPr>
        <w:t>2</w:t>
      </w:r>
      <w:r w:rsidR="00AF010B">
        <w:t xml:space="preserve"> concentration was 0.072 µg/m</w:t>
      </w:r>
      <w:r w:rsidR="00AF010B">
        <w:rPr>
          <w:vertAlign w:val="superscript"/>
        </w:rPr>
        <w:t>3</w:t>
      </w:r>
      <w:r w:rsidR="00AF010B">
        <w:t>, which occurred 582 m north from the center of the facility. This was 0.1% of the NMAAQS.</w:t>
      </w:r>
      <w:r w:rsidRPr="00016576">
        <w:rPr>
          <w:rFonts w:eastAsia="Times New Roman" w:cs="Times New Roman"/>
          <w:szCs w:val="24"/>
        </w:rPr>
        <w:br/>
      </w:r>
      <w:r w:rsidRPr="00016576">
        <w:rPr>
          <w:rFonts w:eastAsia="Times New Roman" w:cs="Times New Roman"/>
          <w:szCs w:val="24"/>
        </w:rPr>
        <w:br/>
        <w:t>The annual NO</w:t>
      </w:r>
      <w:r w:rsidRPr="00016576">
        <w:rPr>
          <w:rFonts w:eastAsia="Times New Roman" w:cs="Times New Roman"/>
          <w:szCs w:val="24"/>
          <w:vertAlign w:val="subscript"/>
        </w:rPr>
        <w:t>2</w:t>
      </w:r>
      <w:r w:rsidRPr="00016576">
        <w:rPr>
          <w:rFonts w:eastAsia="Times New Roman" w:cs="Times New Roman"/>
          <w:szCs w:val="24"/>
        </w:rPr>
        <w:t xml:space="preserve"> concentration was below the significance level. No c</w:t>
      </w:r>
      <w:r w:rsidR="00CA7C1F">
        <w:rPr>
          <w:rFonts w:eastAsia="Times New Roman" w:cs="Times New Roman"/>
          <w:szCs w:val="24"/>
        </w:rPr>
        <w:t>umulative analysis is required.</w:t>
      </w:r>
    </w:p>
    <w:p w:rsidR="00980D82" w:rsidRDefault="00980D82" w:rsidP="00016576">
      <w:pPr>
        <w:spacing w:after="0" w:line="240" w:lineRule="auto"/>
        <w:rPr>
          <w:rFonts w:eastAsia="Times New Roman" w:cs="Times New Roman"/>
          <w:szCs w:val="24"/>
        </w:rPr>
      </w:pPr>
    </w:p>
    <w:p w:rsidR="00980D82" w:rsidRDefault="00980D82" w:rsidP="00980D82">
      <w:pPr>
        <w:spacing w:after="0" w:line="240" w:lineRule="auto"/>
        <w:rPr>
          <w:rFonts w:eastAsia="Times New Roman" w:cs="Times New Roman"/>
          <w:szCs w:val="24"/>
        </w:rPr>
      </w:pPr>
      <w:r>
        <w:rPr>
          <w:b/>
          <w:bCs/>
          <w:u w:val="single"/>
        </w:rPr>
        <w:t>O</w:t>
      </w:r>
      <w:r>
        <w:rPr>
          <w:b/>
          <w:bCs/>
          <w:u w:val="single"/>
          <w:vertAlign w:val="subscript"/>
        </w:rPr>
        <w:t>3</w:t>
      </w:r>
      <w:r>
        <w:rPr>
          <w:b/>
          <w:bCs/>
          <w:u w:val="single"/>
        </w:rPr>
        <w:t xml:space="preserve"> Analysis</w:t>
      </w:r>
      <w:r>
        <w:t>:</w:t>
      </w:r>
      <w:r>
        <w:br/>
        <w:t>O</w:t>
      </w:r>
      <w:r w:rsidRPr="00AF010B">
        <w:rPr>
          <w:vertAlign w:val="subscript"/>
        </w:rPr>
        <w:t>3</w:t>
      </w:r>
      <w:r>
        <w:t xml:space="preserve"> analysis was based on MERP guidance, </w:t>
      </w:r>
      <w:r w:rsidRPr="00AF010B">
        <w:t>EPA-454/R-16-006, December 2016</w:t>
      </w:r>
      <w:r>
        <w:t>. The 8-hour O</w:t>
      </w:r>
      <w:r>
        <w:rPr>
          <w:vertAlign w:val="subscript"/>
        </w:rPr>
        <w:t>3</w:t>
      </w:r>
      <w:r>
        <w:t xml:space="preserve"> concentration was below the significance level. No cumulative analysis is required. The maximum source alone 8-hour O</w:t>
      </w:r>
      <w:r>
        <w:rPr>
          <w:vertAlign w:val="subscript"/>
        </w:rPr>
        <w:t>3</w:t>
      </w:r>
      <w:r>
        <w:t xml:space="preserve"> concentration was 0.466 µg/m</w:t>
      </w:r>
      <w:r>
        <w:rPr>
          <w:vertAlign w:val="superscript"/>
        </w:rPr>
        <w:t>3</w:t>
      </w:r>
      <w:r>
        <w:t>. This was 0.3% of the NAAQS.</w:t>
      </w:r>
    </w:p>
    <w:p w:rsidR="00531530" w:rsidRDefault="00016576" w:rsidP="00980D82">
      <w:pPr>
        <w:spacing w:after="0" w:line="240" w:lineRule="auto"/>
        <w:rPr>
          <w:rFonts w:eastAsia="Times New Roman" w:cs="Times New Roman"/>
          <w:szCs w:val="24"/>
        </w:rPr>
      </w:pPr>
      <w:r w:rsidRPr="00016576">
        <w:rPr>
          <w:rFonts w:eastAsia="Times New Roman" w:cs="Times New Roman"/>
          <w:szCs w:val="24"/>
        </w:rPr>
        <w:br/>
      </w:r>
      <w:r w:rsidRPr="00016576">
        <w:rPr>
          <w:rFonts w:eastAsia="Times New Roman" w:cs="Times New Roman"/>
          <w:b/>
          <w:bCs/>
          <w:szCs w:val="24"/>
          <w:u w:val="single"/>
        </w:rPr>
        <w:t>PM2.5 Analysis</w:t>
      </w:r>
      <w:r w:rsidRPr="00016576">
        <w:rPr>
          <w:rFonts w:eastAsia="Times New Roman" w:cs="Times New Roman"/>
          <w:szCs w:val="24"/>
        </w:rPr>
        <w:t>:</w:t>
      </w:r>
      <w:r w:rsidRPr="00016576">
        <w:rPr>
          <w:rFonts w:eastAsia="Times New Roman" w:cs="Times New Roman"/>
          <w:szCs w:val="24"/>
        </w:rPr>
        <w:br/>
        <w:t xml:space="preserve">The 24-hour PM2.5 concentration was below the significance level. No cumulative analysis is required. </w:t>
      </w:r>
      <w:r w:rsidR="00531530">
        <w:rPr>
          <w:rFonts w:eastAsia="Times New Roman" w:cs="Times New Roman"/>
          <w:szCs w:val="24"/>
        </w:rPr>
        <w:t xml:space="preserve">The total primary plus secondary PM2.5 impact from the project was </w:t>
      </w:r>
      <w:r w:rsidR="00980D82" w:rsidRPr="00980D82">
        <w:rPr>
          <w:rFonts w:eastAsia="Times New Roman" w:cs="Times New Roman"/>
          <w:szCs w:val="24"/>
        </w:rPr>
        <w:t>0.366</w:t>
      </w:r>
      <w:r w:rsidR="00980D82">
        <w:rPr>
          <w:rFonts w:eastAsia="Times New Roman" w:cs="Times New Roman"/>
          <w:szCs w:val="24"/>
        </w:rPr>
        <w:t xml:space="preserve"> </w:t>
      </w:r>
      <w:r w:rsidR="00980D82" w:rsidRPr="00016576">
        <w:rPr>
          <w:rFonts w:eastAsia="Times New Roman" w:cs="Times New Roman"/>
          <w:szCs w:val="24"/>
        </w:rPr>
        <w:t>µg/m</w:t>
      </w:r>
      <w:r w:rsidR="00980D82" w:rsidRPr="00016576">
        <w:rPr>
          <w:rFonts w:eastAsia="Times New Roman" w:cs="Times New Roman"/>
          <w:szCs w:val="24"/>
          <w:vertAlign w:val="superscript"/>
        </w:rPr>
        <w:t>3</w:t>
      </w:r>
      <w:r w:rsidR="008D7E44">
        <w:rPr>
          <w:rFonts w:eastAsia="Times New Roman" w:cs="Times New Roman"/>
          <w:szCs w:val="24"/>
        </w:rPr>
        <w:t xml:space="preserve">, </w:t>
      </w:r>
      <w:r w:rsidR="008D7E44" w:rsidRPr="00016576">
        <w:rPr>
          <w:rFonts w:eastAsia="Times New Roman" w:cs="Times New Roman"/>
          <w:szCs w:val="24"/>
        </w:rPr>
        <w:t>which occurred 605 m north-northeast from the center of the facility</w:t>
      </w:r>
      <w:r w:rsidR="00531530">
        <w:rPr>
          <w:rFonts w:eastAsia="Times New Roman" w:cs="Times New Roman"/>
          <w:szCs w:val="24"/>
        </w:rPr>
        <w:t>.</w:t>
      </w:r>
      <w:r w:rsidR="008D7E44">
        <w:rPr>
          <w:rFonts w:eastAsia="Times New Roman" w:cs="Times New Roman"/>
          <w:szCs w:val="24"/>
        </w:rPr>
        <w:t xml:space="preserve"> </w:t>
      </w:r>
      <w:r w:rsidRPr="00016576">
        <w:rPr>
          <w:rFonts w:eastAsia="Times New Roman" w:cs="Times New Roman"/>
          <w:szCs w:val="24"/>
        </w:rPr>
        <w:t xml:space="preserve">This was </w:t>
      </w:r>
      <w:r w:rsidR="008D7E44">
        <w:rPr>
          <w:rFonts w:eastAsia="Times New Roman" w:cs="Times New Roman"/>
          <w:szCs w:val="24"/>
        </w:rPr>
        <w:t>1.0</w:t>
      </w:r>
      <w:r w:rsidR="00531530">
        <w:rPr>
          <w:rFonts w:eastAsia="Times New Roman" w:cs="Times New Roman"/>
          <w:szCs w:val="24"/>
        </w:rPr>
        <w:t>% of the NAAQS</w:t>
      </w:r>
      <w:r w:rsidRPr="00016576">
        <w:rPr>
          <w:rFonts w:eastAsia="Times New Roman" w:cs="Times New Roman"/>
          <w:szCs w:val="24"/>
        </w:rPr>
        <w:t>.</w:t>
      </w:r>
      <w:r w:rsidRPr="00016576">
        <w:rPr>
          <w:rFonts w:eastAsia="Times New Roman" w:cs="Times New Roman"/>
          <w:szCs w:val="24"/>
        </w:rPr>
        <w:br/>
      </w:r>
      <w:r w:rsidRPr="00016576">
        <w:rPr>
          <w:rFonts w:eastAsia="Times New Roman" w:cs="Times New Roman"/>
          <w:szCs w:val="24"/>
        </w:rPr>
        <w:br/>
        <w:t xml:space="preserve">The annual PM2.5 concentration was below the significance level. No cumulative analysis is required. The maximum </w:t>
      </w:r>
      <w:r w:rsidR="00A636DA">
        <w:rPr>
          <w:rFonts w:eastAsia="Times New Roman" w:cs="Times New Roman"/>
          <w:szCs w:val="24"/>
        </w:rPr>
        <w:t xml:space="preserve">total primary plus secondary PM2.5 impact from the project was </w:t>
      </w:r>
      <w:r w:rsidR="00A636DA">
        <w:t>0.209</w:t>
      </w:r>
      <w:r w:rsidR="00A636DA" w:rsidRPr="00016576">
        <w:rPr>
          <w:rFonts w:eastAsia="Times New Roman" w:cs="Times New Roman"/>
          <w:szCs w:val="24"/>
        </w:rPr>
        <w:t xml:space="preserve"> </w:t>
      </w:r>
      <w:r w:rsidRPr="00016576">
        <w:rPr>
          <w:rFonts w:eastAsia="Times New Roman" w:cs="Times New Roman"/>
          <w:szCs w:val="24"/>
        </w:rPr>
        <w:t>µg/m</w:t>
      </w:r>
      <w:r w:rsidRPr="00016576">
        <w:rPr>
          <w:rFonts w:eastAsia="Times New Roman" w:cs="Times New Roman"/>
          <w:szCs w:val="24"/>
          <w:vertAlign w:val="superscript"/>
        </w:rPr>
        <w:t>3</w:t>
      </w:r>
      <w:r w:rsidRPr="00016576">
        <w:rPr>
          <w:rFonts w:eastAsia="Times New Roman" w:cs="Times New Roman"/>
          <w:szCs w:val="24"/>
        </w:rPr>
        <w:t xml:space="preserve">, which occurred 582 m north from the center of the facility. </w:t>
      </w:r>
      <w:r w:rsidR="00E02DC3" w:rsidRPr="00016576">
        <w:rPr>
          <w:rFonts w:eastAsia="Times New Roman" w:cs="Times New Roman"/>
          <w:szCs w:val="24"/>
        </w:rPr>
        <w:t xml:space="preserve">This was </w:t>
      </w:r>
      <w:r w:rsidR="00A636DA">
        <w:rPr>
          <w:rFonts w:eastAsia="Times New Roman" w:cs="Times New Roman"/>
          <w:szCs w:val="24"/>
        </w:rPr>
        <w:t>1.</w:t>
      </w:r>
      <w:r w:rsidR="00E02DC3">
        <w:rPr>
          <w:rFonts w:eastAsia="Times New Roman" w:cs="Times New Roman"/>
          <w:szCs w:val="24"/>
        </w:rPr>
        <w:t>7</w:t>
      </w:r>
      <w:r w:rsidR="00A636DA">
        <w:rPr>
          <w:rFonts w:eastAsia="Times New Roman" w:cs="Times New Roman"/>
          <w:szCs w:val="24"/>
        </w:rPr>
        <w:t xml:space="preserve">% </w:t>
      </w:r>
      <w:r w:rsidR="00E02DC3">
        <w:rPr>
          <w:rFonts w:eastAsia="Times New Roman" w:cs="Times New Roman"/>
          <w:szCs w:val="24"/>
        </w:rPr>
        <w:t>of the NAAQS</w:t>
      </w:r>
      <w:r w:rsidR="00E02DC3" w:rsidRPr="00016576">
        <w:rPr>
          <w:rFonts w:eastAsia="Times New Roman" w:cs="Times New Roman"/>
          <w:szCs w:val="24"/>
        </w:rPr>
        <w:t>.</w:t>
      </w:r>
    </w:p>
    <w:p w:rsidR="00AF010B" w:rsidRDefault="00AF010B" w:rsidP="00016576">
      <w:pPr>
        <w:spacing w:after="0" w:line="240" w:lineRule="auto"/>
        <w:rPr>
          <w:rFonts w:eastAsia="Times New Roman" w:cs="Times New Roman"/>
          <w:szCs w:val="24"/>
        </w:rPr>
      </w:pPr>
    </w:p>
    <w:p w:rsidR="00E6752A" w:rsidRDefault="00016576" w:rsidP="00016576">
      <w:pPr>
        <w:spacing w:after="0" w:line="240" w:lineRule="auto"/>
      </w:pPr>
      <w:r w:rsidRPr="00016576">
        <w:rPr>
          <w:rFonts w:eastAsia="Times New Roman" w:cs="Times New Roman"/>
          <w:b/>
          <w:bCs/>
          <w:szCs w:val="24"/>
          <w:u w:val="single"/>
        </w:rPr>
        <w:t>SO</w:t>
      </w:r>
      <w:r w:rsidRPr="00016576">
        <w:rPr>
          <w:rFonts w:eastAsia="Times New Roman" w:cs="Times New Roman"/>
          <w:b/>
          <w:bCs/>
          <w:szCs w:val="24"/>
          <w:u w:val="single"/>
          <w:vertAlign w:val="subscript"/>
        </w:rPr>
        <w:t>2</w:t>
      </w:r>
      <w:r w:rsidRPr="00016576">
        <w:rPr>
          <w:rFonts w:eastAsia="Times New Roman" w:cs="Times New Roman"/>
          <w:b/>
          <w:bCs/>
          <w:szCs w:val="24"/>
          <w:u w:val="single"/>
        </w:rPr>
        <w:t xml:space="preserve"> Analysis</w:t>
      </w:r>
      <w:r w:rsidRPr="00016576">
        <w:rPr>
          <w:rFonts w:eastAsia="Times New Roman" w:cs="Times New Roman"/>
          <w:szCs w:val="24"/>
        </w:rPr>
        <w:t>:</w:t>
      </w:r>
      <w:r w:rsidRPr="00016576">
        <w:rPr>
          <w:rFonts w:eastAsia="Times New Roman" w:cs="Times New Roman"/>
          <w:szCs w:val="24"/>
        </w:rPr>
        <w:br/>
      </w:r>
      <w:r w:rsidR="00E6752A">
        <w:t>Compliance with 1-hour SO</w:t>
      </w:r>
      <w:r w:rsidR="00E6752A">
        <w:rPr>
          <w:vertAlign w:val="subscript"/>
        </w:rPr>
        <w:t>2</w:t>
      </w:r>
      <w:r w:rsidR="00E6752A">
        <w:t xml:space="preserve"> NAAQS automatically demonstrates compliance with air quality standards of other periods. The 1-hour SO</w:t>
      </w:r>
      <w:r w:rsidR="00E6752A">
        <w:rPr>
          <w:vertAlign w:val="subscript"/>
        </w:rPr>
        <w:t>2</w:t>
      </w:r>
      <w:r w:rsidR="00E6752A">
        <w:t xml:space="preserve"> concentration was below the significance level. No cumulative analysis is required. The maximum source alone 1-hour SO</w:t>
      </w:r>
      <w:r w:rsidR="00E6752A">
        <w:rPr>
          <w:vertAlign w:val="subscript"/>
        </w:rPr>
        <w:t>2</w:t>
      </w:r>
      <w:r w:rsidR="00E6752A">
        <w:t xml:space="preserve"> concentration was 0.558 µg/m</w:t>
      </w:r>
      <w:r w:rsidR="00E6752A">
        <w:rPr>
          <w:vertAlign w:val="superscript"/>
        </w:rPr>
        <w:t>3</w:t>
      </w:r>
      <w:r w:rsidR="00E6752A">
        <w:t>, which occurred 740 m east-northeast from the center of the facility. This was 0.3% of the NAAQS.</w:t>
      </w:r>
      <w:r w:rsidR="00E6752A">
        <w:br/>
      </w:r>
      <w:r w:rsidR="00E6752A">
        <w:br/>
        <w:t>The 3-hour SO</w:t>
      </w:r>
      <w:r w:rsidR="00E6752A">
        <w:rPr>
          <w:vertAlign w:val="subscript"/>
        </w:rPr>
        <w:t>2</w:t>
      </w:r>
      <w:r w:rsidR="00E6752A">
        <w:t xml:space="preserve"> concentration was below the significance level. No cumulative analysis is required. The maximum source alone 3-hour SO</w:t>
      </w:r>
      <w:r w:rsidR="00E6752A">
        <w:rPr>
          <w:vertAlign w:val="subscript"/>
        </w:rPr>
        <w:t>2</w:t>
      </w:r>
      <w:r w:rsidR="00E6752A">
        <w:t xml:space="preserve"> concentration was 0.292 µg/m</w:t>
      </w:r>
      <w:r w:rsidR="00E6752A">
        <w:rPr>
          <w:vertAlign w:val="superscript"/>
        </w:rPr>
        <w:t>3</w:t>
      </w:r>
      <w:r w:rsidR="00E6752A">
        <w:t>, which occurred 740 m east-northeast from the center of the facility. This was 0.0% of the NAAQS.</w:t>
      </w:r>
      <w:r w:rsidR="00E6752A">
        <w:br/>
      </w:r>
      <w:r w:rsidR="00E6752A">
        <w:br/>
        <w:t>The 24-hour SO</w:t>
      </w:r>
      <w:r w:rsidR="00E6752A">
        <w:rPr>
          <w:vertAlign w:val="subscript"/>
        </w:rPr>
        <w:t>2</w:t>
      </w:r>
      <w:r w:rsidR="00E6752A">
        <w:t xml:space="preserve"> concentration was below the significance level. No cumulative analysis is required. The maximum </w:t>
      </w:r>
      <w:r w:rsidR="00E6752A">
        <w:t>source alone</w:t>
      </w:r>
      <w:r w:rsidR="00E6752A">
        <w:t xml:space="preserve"> 24-hour SO</w:t>
      </w:r>
      <w:r w:rsidR="00E6752A">
        <w:rPr>
          <w:vertAlign w:val="subscript"/>
        </w:rPr>
        <w:t>2</w:t>
      </w:r>
      <w:r w:rsidR="00E6752A">
        <w:t xml:space="preserve"> concentration was 0.405 µg/m</w:t>
      </w:r>
      <w:r w:rsidR="00E6752A">
        <w:rPr>
          <w:vertAlign w:val="superscript"/>
        </w:rPr>
        <w:t>3</w:t>
      </w:r>
      <w:r w:rsidR="00E6752A">
        <w:t xml:space="preserve">, which occurred 605 m north-northeast from the center of the facility. This was 0.2% of the NMAAQS. </w:t>
      </w:r>
      <w:r w:rsidR="00E6752A">
        <w:br/>
      </w:r>
      <w:r w:rsidR="00E6752A">
        <w:br/>
        <w:t>The annual SO</w:t>
      </w:r>
      <w:r w:rsidR="00E6752A">
        <w:rPr>
          <w:vertAlign w:val="subscript"/>
        </w:rPr>
        <w:t>2</w:t>
      </w:r>
      <w:r w:rsidR="00E6752A">
        <w:t xml:space="preserve"> concentration was below the significance level. No cumulative analysis is </w:t>
      </w:r>
      <w:r w:rsidR="00E6752A">
        <w:lastRenderedPageBreak/>
        <w:t>required. The maximum source alone annual SO</w:t>
      </w:r>
      <w:r w:rsidR="00E6752A">
        <w:rPr>
          <w:vertAlign w:val="subscript"/>
        </w:rPr>
        <w:t>2</w:t>
      </w:r>
      <w:r w:rsidR="00E6752A">
        <w:t xml:space="preserve"> concentration was 0.073 µg/m</w:t>
      </w:r>
      <w:r w:rsidR="00E6752A">
        <w:rPr>
          <w:vertAlign w:val="superscript"/>
        </w:rPr>
        <w:t>3</w:t>
      </w:r>
      <w:r w:rsidR="00E6752A">
        <w:t>, which occurred 582 m north from the center of the facility. This was 0.1% of the NMAAQS.</w:t>
      </w:r>
    </w:p>
    <w:p w:rsidR="00016576" w:rsidRPr="00016576" w:rsidRDefault="00016576" w:rsidP="00016576">
      <w:pPr>
        <w:spacing w:after="0" w:line="240" w:lineRule="auto"/>
        <w:rPr>
          <w:rFonts w:eastAsia="Times New Roman" w:cs="Times New Roman"/>
          <w:szCs w:val="24"/>
        </w:rPr>
      </w:pPr>
      <w:r w:rsidRPr="00016576">
        <w:rPr>
          <w:rFonts w:eastAsia="Times New Roman" w:cs="Times New Roman"/>
          <w:szCs w:val="24"/>
        </w:rPr>
        <w:br/>
      </w:r>
      <w:r w:rsidRPr="00016576">
        <w:rPr>
          <w:rFonts w:eastAsia="Times New Roman" w:cs="Times New Roman"/>
          <w:b/>
          <w:bCs/>
          <w:szCs w:val="24"/>
          <w:u w:val="single"/>
        </w:rPr>
        <w:t>Table 5: Table of Ambient Impact from Emissions</w:t>
      </w:r>
    </w:p>
    <w:tbl>
      <w:tblPr>
        <w:tblW w:w="8933" w:type="dxa"/>
        <w:jc w:val="center"/>
        <w:tblCellSpacing w:w="7" w:type="dxa"/>
        <w:tblCellMar>
          <w:top w:w="105" w:type="dxa"/>
          <w:left w:w="105" w:type="dxa"/>
          <w:bottom w:w="105" w:type="dxa"/>
          <w:right w:w="105" w:type="dxa"/>
        </w:tblCellMar>
        <w:tblLook w:val="04A0" w:firstRow="1" w:lastRow="0" w:firstColumn="1" w:lastColumn="0" w:noHBand="0" w:noVBand="1"/>
      </w:tblPr>
      <w:tblGrid>
        <w:gridCol w:w="919"/>
        <w:gridCol w:w="1030"/>
        <w:gridCol w:w="800"/>
        <w:gridCol w:w="800"/>
        <w:gridCol w:w="925"/>
        <w:gridCol w:w="800"/>
        <w:gridCol w:w="1324"/>
        <w:gridCol w:w="925"/>
        <w:gridCol w:w="854"/>
        <w:gridCol w:w="556"/>
      </w:tblGrid>
      <w:tr w:rsidR="00756CA1" w:rsidRPr="00016576" w:rsidTr="00FD028E">
        <w:trPr>
          <w:cantSplit/>
          <w:trHeight w:val="3247"/>
          <w:tblCellSpacing w:w="7" w:type="dxa"/>
          <w:jc w:val="center"/>
        </w:trPr>
        <w:tc>
          <w:tcPr>
            <w:tcW w:w="898" w:type="dxa"/>
            <w:textDirection w:val="btLr"/>
            <w:vAlign w:val="center"/>
            <w:hideMark/>
          </w:tcPr>
          <w:p w:rsidR="00756CA1" w:rsidRPr="00016576" w:rsidRDefault="00756CA1" w:rsidP="00FD028E">
            <w:pPr>
              <w:spacing w:after="0" w:line="240" w:lineRule="auto"/>
              <w:ind w:left="113" w:right="113"/>
              <w:jc w:val="center"/>
              <w:rPr>
                <w:rFonts w:eastAsia="Times New Roman" w:cs="Times New Roman"/>
                <w:szCs w:val="24"/>
              </w:rPr>
            </w:pPr>
            <w:r w:rsidRPr="00016576">
              <w:rPr>
                <w:rFonts w:eastAsia="Times New Roman" w:cs="Times New Roman"/>
                <w:szCs w:val="24"/>
              </w:rPr>
              <w:t>Pollutant</w:t>
            </w:r>
          </w:p>
        </w:tc>
        <w:tc>
          <w:tcPr>
            <w:tcW w:w="1016" w:type="dxa"/>
            <w:textDirection w:val="btLr"/>
            <w:vAlign w:val="center"/>
            <w:hideMark/>
          </w:tcPr>
          <w:p w:rsidR="00756CA1" w:rsidRPr="00016576" w:rsidRDefault="00756CA1" w:rsidP="00FD028E">
            <w:pPr>
              <w:spacing w:after="0" w:line="240" w:lineRule="auto"/>
              <w:ind w:left="113" w:right="113"/>
              <w:jc w:val="center"/>
              <w:rPr>
                <w:rFonts w:eastAsia="Times New Roman" w:cs="Times New Roman"/>
                <w:szCs w:val="24"/>
              </w:rPr>
            </w:pPr>
            <w:r w:rsidRPr="00016576">
              <w:rPr>
                <w:rFonts w:eastAsia="Times New Roman" w:cs="Times New Roman"/>
                <w:szCs w:val="24"/>
              </w:rPr>
              <w:t>Period</w:t>
            </w:r>
          </w:p>
        </w:tc>
        <w:tc>
          <w:tcPr>
            <w:tcW w:w="786" w:type="dxa"/>
            <w:textDirection w:val="btLr"/>
            <w:vAlign w:val="center"/>
            <w:hideMark/>
          </w:tcPr>
          <w:p w:rsidR="00756CA1" w:rsidRPr="00016576" w:rsidRDefault="00756CA1" w:rsidP="00FD028E">
            <w:pPr>
              <w:spacing w:after="0" w:line="240" w:lineRule="auto"/>
              <w:ind w:left="113" w:right="113"/>
              <w:jc w:val="center"/>
              <w:rPr>
                <w:rFonts w:eastAsia="Times New Roman" w:cs="Times New Roman"/>
                <w:szCs w:val="24"/>
              </w:rPr>
            </w:pPr>
            <w:r w:rsidRPr="00016576">
              <w:rPr>
                <w:rFonts w:eastAsia="Times New Roman" w:cs="Times New Roman"/>
                <w:szCs w:val="24"/>
              </w:rPr>
              <w:t>Facility Concentration (µg/m</w:t>
            </w:r>
            <w:r w:rsidRPr="00016576">
              <w:rPr>
                <w:rFonts w:eastAsia="Times New Roman" w:cs="Times New Roman"/>
                <w:szCs w:val="24"/>
                <w:vertAlign w:val="superscript"/>
              </w:rPr>
              <w:t>3</w:t>
            </w:r>
            <w:r w:rsidRPr="00016576">
              <w:rPr>
                <w:rFonts w:eastAsia="Times New Roman" w:cs="Times New Roman"/>
                <w:szCs w:val="24"/>
              </w:rPr>
              <w:t>)</w:t>
            </w:r>
          </w:p>
        </w:tc>
        <w:tc>
          <w:tcPr>
            <w:tcW w:w="786" w:type="dxa"/>
            <w:textDirection w:val="btLr"/>
            <w:vAlign w:val="center"/>
            <w:hideMark/>
          </w:tcPr>
          <w:p w:rsidR="00756CA1" w:rsidRPr="00016576" w:rsidRDefault="00756CA1" w:rsidP="00FD028E">
            <w:pPr>
              <w:spacing w:after="0" w:line="240" w:lineRule="auto"/>
              <w:ind w:left="113" w:right="113"/>
              <w:jc w:val="center"/>
              <w:rPr>
                <w:rFonts w:eastAsia="Times New Roman" w:cs="Times New Roman"/>
                <w:szCs w:val="24"/>
              </w:rPr>
            </w:pPr>
            <w:r w:rsidRPr="00016576">
              <w:rPr>
                <w:rFonts w:eastAsia="Times New Roman" w:cs="Times New Roman"/>
                <w:szCs w:val="24"/>
              </w:rPr>
              <w:t>Modeled Concentration (µg/m</w:t>
            </w:r>
            <w:r w:rsidRPr="00016576">
              <w:rPr>
                <w:rFonts w:eastAsia="Times New Roman" w:cs="Times New Roman"/>
                <w:szCs w:val="24"/>
                <w:vertAlign w:val="superscript"/>
              </w:rPr>
              <w:t>3</w:t>
            </w:r>
            <w:r w:rsidRPr="00016576">
              <w:rPr>
                <w:rFonts w:eastAsia="Times New Roman" w:cs="Times New Roman"/>
                <w:szCs w:val="24"/>
              </w:rPr>
              <w:t>)</w:t>
            </w:r>
          </w:p>
        </w:tc>
        <w:tc>
          <w:tcPr>
            <w:tcW w:w="911" w:type="dxa"/>
            <w:textDirection w:val="btLr"/>
            <w:vAlign w:val="center"/>
            <w:hideMark/>
          </w:tcPr>
          <w:p w:rsidR="00756CA1" w:rsidRPr="00016576" w:rsidRDefault="00756CA1" w:rsidP="00FD028E">
            <w:pPr>
              <w:spacing w:after="0" w:line="240" w:lineRule="auto"/>
              <w:ind w:left="113" w:right="113"/>
              <w:jc w:val="center"/>
              <w:rPr>
                <w:rFonts w:eastAsia="Times New Roman" w:cs="Times New Roman"/>
                <w:szCs w:val="24"/>
              </w:rPr>
            </w:pPr>
            <w:r w:rsidRPr="00016576">
              <w:rPr>
                <w:rFonts w:eastAsia="Times New Roman" w:cs="Times New Roman"/>
                <w:szCs w:val="24"/>
              </w:rPr>
              <w:t>Modeled Concentration (PPM)</w:t>
            </w:r>
          </w:p>
        </w:tc>
        <w:tc>
          <w:tcPr>
            <w:tcW w:w="786" w:type="dxa"/>
            <w:textDirection w:val="btLr"/>
            <w:vAlign w:val="center"/>
            <w:hideMark/>
          </w:tcPr>
          <w:p w:rsidR="00756CA1" w:rsidRPr="00016576" w:rsidRDefault="00756CA1" w:rsidP="00FD028E">
            <w:pPr>
              <w:spacing w:after="0" w:line="240" w:lineRule="auto"/>
              <w:ind w:left="113" w:right="113"/>
              <w:jc w:val="center"/>
              <w:rPr>
                <w:rFonts w:eastAsia="Times New Roman" w:cs="Times New Roman"/>
                <w:szCs w:val="24"/>
              </w:rPr>
            </w:pPr>
            <w:r w:rsidRPr="00016576">
              <w:rPr>
                <w:rFonts w:eastAsia="Times New Roman" w:cs="Times New Roman"/>
                <w:szCs w:val="24"/>
              </w:rPr>
              <w:t>Cumulative Concentration</w:t>
            </w:r>
          </w:p>
        </w:tc>
        <w:tc>
          <w:tcPr>
            <w:tcW w:w="1310" w:type="dxa"/>
            <w:textDirection w:val="btLr"/>
            <w:vAlign w:val="center"/>
            <w:hideMark/>
          </w:tcPr>
          <w:p w:rsidR="00756CA1" w:rsidRPr="00016576" w:rsidRDefault="00756CA1" w:rsidP="00FD028E">
            <w:pPr>
              <w:spacing w:after="0" w:line="240" w:lineRule="auto"/>
              <w:ind w:left="113" w:right="113"/>
              <w:jc w:val="center"/>
              <w:rPr>
                <w:rFonts w:eastAsia="Times New Roman" w:cs="Times New Roman"/>
                <w:szCs w:val="24"/>
              </w:rPr>
            </w:pPr>
            <w:r w:rsidRPr="00016576">
              <w:rPr>
                <w:rFonts w:eastAsia="Times New Roman" w:cs="Times New Roman"/>
                <w:szCs w:val="24"/>
              </w:rPr>
              <w:t>Standard</w:t>
            </w:r>
          </w:p>
        </w:tc>
        <w:tc>
          <w:tcPr>
            <w:tcW w:w="911" w:type="dxa"/>
            <w:textDirection w:val="btLr"/>
            <w:vAlign w:val="center"/>
            <w:hideMark/>
          </w:tcPr>
          <w:p w:rsidR="00756CA1" w:rsidRPr="00016576" w:rsidRDefault="00756CA1" w:rsidP="00FD028E">
            <w:pPr>
              <w:spacing w:after="0" w:line="240" w:lineRule="auto"/>
              <w:ind w:left="113" w:right="113"/>
              <w:jc w:val="center"/>
              <w:rPr>
                <w:rFonts w:eastAsia="Times New Roman" w:cs="Times New Roman"/>
                <w:szCs w:val="24"/>
              </w:rPr>
            </w:pPr>
            <w:r w:rsidRPr="00016576">
              <w:rPr>
                <w:rFonts w:eastAsia="Times New Roman" w:cs="Times New Roman"/>
                <w:szCs w:val="24"/>
              </w:rPr>
              <w:t>Value of Standard</w:t>
            </w:r>
          </w:p>
        </w:tc>
        <w:tc>
          <w:tcPr>
            <w:tcW w:w="840" w:type="dxa"/>
            <w:textDirection w:val="btLr"/>
            <w:vAlign w:val="center"/>
            <w:hideMark/>
          </w:tcPr>
          <w:p w:rsidR="00756CA1" w:rsidRPr="00016576" w:rsidRDefault="00FD028E" w:rsidP="00FD028E">
            <w:pPr>
              <w:spacing w:after="0" w:line="240" w:lineRule="auto"/>
              <w:ind w:left="113" w:right="113"/>
              <w:jc w:val="center"/>
              <w:rPr>
                <w:rFonts w:eastAsia="Times New Roman" w:cs="Times New Roman"/>
                <w:szCs w:val="24"/>
              </w:rPr>
            </w:pPr>
            <w:r>
              <w:rPr>
                <w:rFonts w:eastAsia="Times New Roman" w:cs="Times New Roman"/>
                <w:szCs w:val="24"/>
              </w:rPr>
              <w:t>Units of Standard</w:t>
            </w:r>
            <w:r w:rsidR="00756CA1" w:rsidRPr="00016576">
              <w:rPr>
                <w:rFonts w:eastAsia="Times New Roman" w:cs="Times New Roman"/>
                <w:szCs w:val="24"/>
              </w:rPr>
              <w:t xml:space="preserve"> and Total</w:t>
            </w:r>
          </w:p>
        </w:tc>
        <w:tc>
          <w:tcPr>
            <w:tcW w:w="535" w:type="dxa"/>
            <w:textDirection w:val="btLr"/>
            <w:vAlign w:val="center"/>
            <w:hideMark/>
          </w:tcPr>
          <w:p w:rsidR="00756CA1" w:rsidRPr="00016576" w:rsidRDefault="00756CA1" w:rsidP="00FD028E">
            <w:pPr>
              <w:spacing w:after="0" w:line="240" w:lineRule="auto"/>
              <w:ind w:left="113" w:right="113"/>
              <w:jc w:val="center"/>
              <w:rPr>
                <w:rFonts w:eastAsia="Times New Roman" w:cs="Times New Roman"/>
                <w:szCs w:val="24"/>
              </w:rPr>
            </w:pPr>
            <w:r w:rsidRPr="00016576">
              <w:rPr>
                <w:rFonts w:eastAsia="Times New Roman" w:cs="Times New Roman"/>
                <w:szCs w:val="24"/>
              </w:rPr>
              <w:t>Percent of Standard</w:t>
            </w:r>
          </w:p>
        </w:tc>
      </w:tr>
      <w:tr w:rsidR="000C5BC2" w:rsidRPr="00016576" w:rsidTr="00FD028E">
        <w:trPr>
          <w:tblCellSpacing w:w="7" w:type="dxa"/>
          <w:jc w:val="center"/>
        </w:trPr>
        <w:tc>
          <w:tcPr>
            <w:tcW w:w="898"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NO</w:t>
            </w:r>
            <w:r w:rsidRPr="000C5BC2">
              <w:rPr>
                <w:rFonts w:eastAsia="Times New Roman" w:cs="Times New Roman"/>
                <w:szCs w:val="24"/>
                <w:vertAlign w:val="subscript"/>
              </w:rPr>
              <w:t>2</w:t>
            </w:r>
          </w:p>
        </w:tc>
        <w:tc>
          <w:tcPr>
            <w:tcW w:w="101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annual</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0.072</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0.072</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0.0000</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0.072</w:t>
            </w:r>
          </w:p>
        </w:tc>
        <w:tc>
          <w:tcPr>
            <w:tcW w:w="131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NMAAQS</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94.02</w:t>
            </w:r>
          </w:p>
        </w:tc>
        <w:tc>
          <w:tcPr>
            <w:tcW w:w="84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µg/m</w:t>
            </w:r>
            <w:r w:rsidRPr="000C5BC2">
              <w:rPr>
                <w:rFonts w:eastAsia="Times New Roman" w:cs="Times New Roman"/>
                <w:szCs w:val="24"/>
                <w:vertAlign w:val="superscript"/>
              </w:rPr>
              <w:t>3</w:t>
            </w:r>
          </w:p>
        </w:tc>
        <w:tc>
          <w:tcPr>
            <w:tcW w:w="535"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0.1</w:t>
            </w:r>
          </w:p>
        </w:tc>
      </w:tr>
      <w:tr w:rsidR="000C5BC2" w:rsidRPr="00016576" w:rsidTr="00FD028E">
        <w:trPr>
          <w:tblCellSpacing w:w="7" w:type="dxa"/>
          <w:jc w:val="center"/>
        </w:trPr>
        <w:tc>
          <w:tcPr>
            <w:tcW w:w="898"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O</w:t>
            </w:r>
            <w:r w:rsidRPr="000C5BC2">
              <w:rPr>
                <w:rFonts w:eastAsia="Times New Roman" w:cs="Times New Roman"/>
                <w:szCs w:val="24"/>
                <w:vertAlign w:val="subscript"/>
              </w:rPr>
              <w:t>3</w:t>
            </w:r>
          </w:p>
        </w:tc>
        <w:tc>
          <w:tcPr>
            <w:tcW w:w="101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8-hour</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0.466</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0.466</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0.0002</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0.466</w:t>
            </w:r>
          </w:p>
        </w:tc>
        <w:tc>
          <w:tcPr>
            <w:tcW w:w="131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NAAQS</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137.3</w:t>
            </w:r>
          </w:p>
        </w:tc>
        <w:tc>
          <w:tcPr>
            <w:tcW w:w="84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µg/m</w:t>
            </w:r>
            <w:r w:rsidRPr="000C5BC2">
              <w:rPr>
                <w:rFonts w:eastAsia="Times New Roman" w:cs="Times New Roman"/>
                <w:szCs w:val="24"/>
                <w:vertAlign w:val="superscript"/>
              </w:rPr>
              <w:t>3</w:t>
            </w:r>
          </w:p>
        </w:tc>
        <w:tc>
          <w:tcPr>
            <w:tcW w:w="535"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0.3</w:t>
            </w:r>
          </w:p>
        </w:tc>
      </w:tr>
      <w:tr w:rsidR="000C5BC2" w:rsidRPr="00016576" w:rsidTr="00FD028E">
        <w:trPr>
          <w:tblCellSpacing w:w="7" w:type="dxa"/>
          <w:jc w:val="center"/>
        </w:trPr>
        <w:tc>
          <w:tcPr>
            <w:tcW w:w="898"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PM2.5</w:t>
            </w:r>
          </w:p>
        </w:tc>
        <w:tc>
          <w:tcPr>
            <w:tcW w:w="101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24-hour</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0.366</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0.366</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N/A</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0.366</w:t>
            </w:r>
          </w:p>
        </w:tc>
        <w:tc>
          <w:tcPr>
            <w:tcW w:w="131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NAAQS</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35</w:t>
            </w:r>
          </w:p>
        </w:tc>
        <w:tc>
          <w:tcPr>
            <w:tcW w:w="84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µg/m</w:t>
            </w:r>
            <w:r w:rsidRPr="000C5BC2">
              <w:rPr>
                <w:rFonts w:eastAsia="Times New Roman" w:cs="Times New Roman"/>
                <w:szCs w:val="24"/>
                <w:vertAlign w:val="superscript"/>
              </w:rPr>
              <w:t>3</w:t>
            </w:r>
          </w:p>
        </w:tc>
        <w:tc>
          <w:tcPr>
            <w:tcW w:w="535"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1.0</w:t>
            </w:r>
          </w:p>
        </w:tc>
      </w:tr>
      <w:tr w:rsidR="000C5BC2" w:rsidRPr="00016576" w:rsidTr="00FD028E">
        <w:trPr>
          <w:tblCellSpacing w:w="7" w:type="dxa"/>
          <w:jc w:val="center"/>
        </w:trPr>
        <w:tc>
          <w:tcPr>
            <w:tcW w:w="898"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PM2.5</w:t>
            </w:r>
          </w:p>
        </w:tc>
        <w:tc>
          <w:tcPr>
            <w:tcW w:w="101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annual</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0.209</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0.209</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N/A</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0.209</w:t>
            </w:r>
          </w:p>
        </w:tc>
        <w:tc>
          <w:tcPr>
            <w:tcW w:w="131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NAAQS</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12</w:t>
            </w:r>
          </w:p>
        </w:tc>
        <w:tc>
          <w:tcPr>
            <w:tcW w:w="84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µg/m</w:t>
            </w:r>
            <w:r w:rsidRPr="000C5BC2">
              <w:rPr>
                <w:rFonts w:eastAsia="Times New Roman" w:cs="Times New Roman"/>
                <w:szCs w:val="24"/>
                <w:vertAlign w:val="superscript"/>
              </w:rPr>
              <w:t>3</w:t>
            </w:r>
          </w:p>
        </w:tc>
        <w:tc>
          <w:tcPr>
            <w:tcW w:w="535"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1.7</w:t>
            </w:r>
          </w:p>
        </w:tc>
      </w:tr>
      <w:tr w:rsidR="000C5BC2" w:rsidRPr="00016576" w:rsidTr="00FD028E">
        <w:trPr>
          <w:tblCellSpacing w:w="7" w:type="dxa"/>
          <w:jc w:val="center"/>
        </w:trPr>
        <w:tc>
          <w:tcPr>
            <w:tcW w:w="898"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SO</w:t>
            </w:r>
            <w:r w:rsidRPr="000C5BC2">
              <w:rPr>
                <w:rFonts w:eastAsia="Times New Roman" w:cs="Times New Roman"/>
                <w:szCs w:val="24"/>
                <w:vertAlign w:val="subscript"/>
              </w:rPr>
              <w:t>2</w:t>
            </w:r>
          </w:p>
        </w:tc>
        <w:tc>
          <w:tcPr>
            <w:tcW w:w="101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1-hour</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0.558</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0.558</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0.0002</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0.558</w:t>
            </w:r>
          </w:p>
        </w:tc>
        <w:tc>
          <w:tcPr>
            <w:tcW w:w="131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NAAQS</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196.4</w:t>
            </w:r>
          </w:p>
        </w:tc>
        <w:tc>
          <w:tcPr>
            <w:tcW w:w="84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µg/m</w:t>
            </w:r>
            <w:r w:rsidRPr="000C5BC2">
              <w:rPr>
                <w:rFonts w:eastAsia="Times New Roman" w:cs="Times New Roman"/>
                <w:szCs w:val="24"/>
                <w:vertAlign w:val="superscript"/>
              </w:rPr>
              <w:t>3</w:t>
            </w:r>
          </w:p>
        </w:tc>
        <w:tc>
          <w:tcPr>
            <w:tcW w:w="535"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0.3</w:t>
            </w:r>
          </w:p>
        </w:tc>
      </w:tr>
      <w:tr w:rsidR="000C5BC2" w:rsidRPr="00016576" w:rsidTr="00FD028E">
        <w:trPr>
          <w:tblCellSpacing w:w="7" w:type="dxa"/>
          <w:jc w:val="center"/>
        </w:trPr>
        <w:tc>
          <w:tcPr>
            <w:tcW w:w="898"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SO</w:t>
            </w:r>
            <w:r w:rsidRPr="000C5BC2">
              <w:rPr>
                <w:rFonts w:eastAsia="Times New Roman" w:cs="Times New Roman"/>
                <w:szCs w:val="24"/>
                <w:vertAlign w:val="subscript"/>
              </w:rPr>
              <w:t>2</w:t>
            </w:r>
          </w:p>
        </w:tc>
        <w:tc>
          <w:tcPr>
            <w:tcW w:w="101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3-hour</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0.292</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0.292</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0.0001</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0.292</w:t>
            </w:r>
          </w:p>
        </w:tc>
        <w:tc>
          <w:tcPr>
            <w:tcW w:w="131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NAAQS</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1309.3</w:t>
            </w:r>
          </w:p>
        </w:tc>
        <w:tc>
          <w:tcPr>
            <w:tcW w:w="84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µg/m</w:t>
            </w:r>
            <w:r w:rsidRPr="000C5BC2">
              <w:rPr>
                <w:rFonts w:eastAsia="Times New Roman" w:cs="Times New Roman"/>
                <w:szCs w:val="24"/>
                <w:vertAlign w:val="superscript"/>
              </w:rPr>
              <w:t>3</w:t>
            </w:r>
          </w:p>
        </w:tc>
        <w:tc>
          <w:tcPr>
            <w:tcW w:w="535"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w:t>
            </w:r>
          </w:p>
        </w:tc>
      </w:tr>
      <w:tr w:rsidR="000C5BC2" w:rsidRPr="00016576" w:rsidTr="00FD028E">
        <w:trPr>
          <w:tblCellSpacing w:w="7" w:type="dxa"/>
          <w:jc w:val="center"/>
        </w:trPr>
        <w:tc>
          <w:tcPr>
            <w:tcW w:w="898"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SO</w:t>
            </w:r>
            <w:r w:rsidRPr="000C5BC2">
              <w:rPr>
                <w:rFonts w:eastAsia="Times New Roman" w:cs="Times New Roman"/>
                <w:szCs w:val="24"/>
                <w:vertAlign w:val="subscript"/>
              </w:rPr>
              <w:t>2</w:t>
            </w:r>
          </w:p>
        </w:tc>
        <w:tc>
          <w:tcPr>
            <w:tcW w:w="101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24-hour</w:t>
            </w:r>
          </w:p>
        </w:tc>
        <w:tc>
          <w:tcPr>
            <w:tcW w:w="786" w:type="dxa"/>
            <w:vAlign w:val="center"/>
          </w:tcPr>
          <w:p w:rsidR="000C5BC2" w:rsidRPr="000C5BC2" w:rsidRDefault="000C5BC2" w:rsidP="000C5BC2">
            <w:pPr>
              <w:spacing w:after="0" w:line="240" w:lineRule="auto"/>
              <w:rPr>
                <w:rFonts w:eastAsia="Times New Roman" w:cs="Times New Roman"/>
                <w:szCs w:val="24"/>
              </w:rPr>
            </w:pP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0.405</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0.0002</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0.405</w:t>
            </w:r>
          </w:p>
        </w:tc>
        <w:tc>
          <w:tcPr>
            <w:tcW w:w="131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NMAAQS</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261.9</w:t>
            </w:r>
          </w:p>
        </w:tc>
        <w:tc>
          <w:tcPr>
            <w:tcW w:w="84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µg/m</w:t>
            </w:r>
            <w:r w:rsidRPr="000C5BC2">
              <w:rPr>
                <w:rFonts w:eastAsia="Times New Roman" w:cs="Times New Roman"/>
                <w:szCs w:val="24"/>
                <w:vertAlign w:val="superscript"/>
              </w:rPr>
              <w:t>3</w:t>
            </w:r>
          </w:p>
        </w:tc>
        <w:tc>
          <w:tcPr>
            <w:tcW w:w="535"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0.2</w:t>
            </w:r>
          </w:p>
        </w:tc>
      </w:tr>
      <w:tr w:rsidR="000C5BC2" w:rsidRPr="00016576" w:rsidTr="00FD028E">
        <w:trPr>
          <w:tblCellSpacing w:w="7" w:type="dxa"/>
          <w:jc w:val="center"/>
        </w:trPr>
        <w:tc>
          <w:tcPr>
            <w:tcW w:w="898"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SO</w:t>
            </w:r>
            <w:r w:rsidRPr="000C5BC2">
              <w:rPr>
                <w:rFonts w:eastAsia="Times New Roman" w:cs="Times New Roman"/>
                <w:szCs w:val="24"/>
                <w:vertAlign w:val="subscript"/>
              </w:rPr>
              <w:t>2</w:t>
            </w:r>
          </w:p>
        </w:tc>
        <w:tc>
          <w:tcPr>
            <w:tcW w:w="101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annual</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0.073</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0.073</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0.0000</w:t>
            </w:r>
          </w:p>
        </w:tc>
        <w:tc>
          <w:tcPr>
            <w:tcW w:w="786"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0.073</w:t>
            </w:r>
          </w:p>
        </w:tc>
        <w:tc>
          <w:tcPr>
            <w:tcW w:w="131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NMAAQS</w:t>
            </w:r>
          </w:p>
        </w:tc>
        <w:tc>
          <w:tcPr>
            <w:tcW w:w="911"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52.4</w:t>
            </w:r>
          </w:p>
        </w:tc>
        <w:tc>
          <w:tcPr>
            <w:tcW w:w="840"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µg/m</w:t>
            </w:r>
            <w:r w:rsidRPr="000C5BC2">
              <w:rPr>
                <w:rFonts w:eastAsia="Times New Roman" w:cs="Times New Roman"/>
                <w:szCs w:val="24"/>
                <w:vertAlign w:val="superscript"/>
              </w:rPr>
              <w:t>3</w:t>
            </w:r>
          </w:p>
        </w:tc>
        <w:tc>
          <w:tcPr>
            <w:tcW w:w="535" w:type="dxa"/>
            <w:vAlign w:val="center"/>
          </w:tcPr>
          <w:p w:rsidR="000C5BC2" w:rsidRPr="000C5BC2" w:rsidRDefault="000C5BC2" w:rsidP="000C5BC2">
            <w:pPr>
              <w:spacing w:after="0" w:line="240" w:lineRule="auto"/>
              <w:rPr>
                <w:rFonts w:eastAsia="Times New Roman" w:cs="Times New Roman"/>
                <w:szCs w:val="24"/>
              </w:rPr>
            </w:pPr>
            <w:r w:rsidRPr="000C5BC2">
              <w:rPr>
                <w:rFonts w:eastAsia="Times New Roman" w:cs="Times New Roman"/>
                <w:szCs w:val="24"/>
              </w:rPr>
              <w:t>0.1</w:t>
            </w:r>
          </w:p>
        </w:tc>
      </w:tr>
    </w:tbl>
    <w:p w:rsidR="000C5BC2" w:rsidRDefault="000C5BC2" w:rsidP="00016576">
      <w:pPr>
        <w:spacing w:after="0" w:line="240" w:lineRule="auto"/>
        <w:rPr>
          <w:rFonts w:eastAsia="Times New Roman" w:cs="Times New Roman"/>
          <w:szCs w:val="24"/>
        </w:rPr>
      </w:pPr>
    </w:p>
    <w:p w:rsidR="00756CA1" w:rsidRDefault="00016576" w:rsidP="00016576">
      <w:pPr>
        <w:spacing w:after="0" w:line="240" w:lineRule="auto"/>
        <w:rPr>
          <w:rFonts w:eastAsia="Times New Roman" w:cs="Times New Roman"/>
          <w:b/>
          <w:bCs/>
          <w:szCs w:val="24"/>
          <w:u w:val="single"/>
        </w:rPr>
      </w:pPr>
      <w:bookmarkStart w:id="0" w:name="_GoBack"/>
      <w:bookmarkEnd w:id="0"/>
      <w:r w:rsidRPr="00016576">
        <w:rPr>
          <w:rFonts w:eastAsia="Times New Roman" w:cs="Times New Roman"/>
          <w:szCs w:val="24"/>
        </w:rPr>
        <w:br/>
      </w:r>
    </w:p>
    <w:p w:rsidR="00756CA1" w:rsidRDefault="00756CA1">
      <w:pPr>
        <w:rPr>
          <w:rFonts w:eastAsia="Times New Roman" w:cs="Times New Roman"/>
          <w:b/>
          <w:bCs/>
          <w:szCs w:val="24"/>
          <w:u w:val="single"/>
        </w:rPr>
      </w:pPr>
      <w:r>
        <w:rPr>
          <w:rFonts w:eastAsia="Times New Roman" w:cs="Times New Roman"/>
          <w:b/>
          <w:bCs/>
          <w:szCs w:val="24"/>
          <w:u w:val="single"/>
        </w:rPr>
        <w:br w:type="page"/>
      </w:r>
    </w:p>
    <w:p w:rsidR="00016576" w:rsidRPr="00016576" w:rsidRDefault="00016576" w:rsidP="00016576">
      <w:pPr>
        <w:spacing w:after="0" w:line="240" w:lineRule="auto"/>
        <w:rPr>
          <w:rFonts w:eastAsia="Times New Roman" w:cs="Times New Roman"/>
          <w:szCs w:val="24"/>
        </w:rPr>
      </w:pPr>
      <w:r w:rsidRPr="00016576">
        <w:rPr>
          <w:rFonts w:eastAsia="Times New Roman" w:cs="Times New Roman"/>
          <w:b/>
          <w:bCs/>
          <w:szCs w:val="24"/>
          <w:u w:val="single"/>
        </w:rPr>
        <w:lastRenderedPageBreak/>
        <w:t>Table 6: Table of Location of Maximum Concentrations</w:t>
      </w:r>
    </w:p>
    <w:tbl>
      <w:tblPr>
        <w:tblW w:w="9490" w:type="dxa"/>
        <w:tblCellSpacing w:w="7" w:type="dxa"/>
        <w:tblCellMar>
          <w:top w:w="105" w:type="dxa"/>
          <w:left w:w="105" w:type="dxa"/>
          <w:bottom w:w="105" w:type="dxa"/>
          <w:right w:w="105" w:type="dxa"/>
        </w:tblCellMar>
        <w:tblLook w:val="04A0" w:firstRow="1" w:lastRow="0" w:firstColumn="1" w:lastColumn="0" w:noHBand="0" w:noVBand="1"/>
      </w:tblPr>
      <w:tblGrid>
        <w:gridCol w:w="1098"/>
        <w:gridCol w:w="1104"/>
        <w:gridCol w:w="1601"/>
        <w:gridCol w:w="1750"/>
        <w:gridCol w:w="1481"/>
        <w:gridCol w:w="1438"/>
        <w:gridCol w:w="1018"/>
      </w:tblGrid>
      <w:tr w:rsidR="00016576" w:rsidRPr="00016576" w:rsidTr="00756CA1">
        <w:trPr>
          <w:tblCellSpacing w:w="7" w:type="dxa"/>
        </w:trPr>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Pollutant</w:t>
            </w:r>
          </w:p>
        </w:tc>
        <w:tc>
          <w:tcPr>
            <w:tcW w:w="1090" w:type="dxa"/>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Period</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UTM East (m)</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UTM North (m)</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Elevation (ft)</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Distance (m)</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ROI (m)</w:t>
            </w:r>
          </w:p>
        </w:tc>
      </w:tr>
      <w:tr w:rsidR="00016576" w:rsidRPr="00016576" w:rsidTr="00756CA1">
        <w:trPr>
          <w:tblCellSpacing w:w="7" w:type="dxa"/>
        </w:trPr>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NO</w:t>
            </w:r>
            <w:r w:rsidRPr="00016576">
              <w:rPr>
                <w:rFonts w:eastAsia="Times New Roman" w:cs="Times New Roman"/>
                <w:szCs w:val="24"/>
                <w:vertAlign w:val="subscript"/>
              </w:rPr>
              <w:t>2</w:t>
            </w:r>
          </w:p>
        </w:tc>
        <w:tc>
          <w:tcPr>
            <w:tcW w:w="1090" w:type="dxa"/>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annual</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658,500.0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3,623,000.0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3761</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582</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0</w:t>
            </w:r>
          </w:p>
        </w:tc>
      </w:tr>
      <w:tr w:rsidR="00016576" w:rsidRPr="00016576" w:rsidTr="00756CA1">
        <w:trPr>
          <w:tblCellSpacing w:w="7" w:type="dxa"/>
        </w:trPr>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PM2.5</w:t>
            </w:r>
          </w:p>
        </w:tc>
        <w:tc>
          <w:tcPr>
            <w:tcW w:w="1090" w:type="dxa"/>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24-hour</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658,600.0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3,623,000.0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3760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605</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0</w:t>
            </w:r>
          </w:p>
        </w:tc>
      </w:tr>
      <w:tr w:rsidR="00016576" w:rsidRPr="00016576" w:rsidTr="00756CA1">
        <w:trPr>
          <w:tblCellSpacing w:w="7" w:type="dxa"/>
        </w:trPr>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PM2.5</w:t>
            </w:r>
          </w:p>
        </w:tc>
        <w:tc>
          <w:tcPr>
            <w:tcW w:w="1090" w:type="dxa"/>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annual</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658,500.0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3,623,000.0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3761</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582</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0</w:t>
            </w:r>
          </w:p>
        </w:tc>
      </w:tr>
      <w:tr w:rsidR="00016576" w:rsidRPr="00016576" w:rsidTr="00756CA1">
        <w:trPr>
          <w:tblCellSpacing w:w="7" w:type="dxa"/>
        </w:trPr>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SO</w:t>
            </w:r>
            <w:r w:rsidRPr="00016576">
              <w:rPr>
                <w:rFonts w:eastAsia="Times New Roman" w:cs="Times New Roman"/>
                <w:szCs w:val="24"/>
                <w:vertAlign w:val="subscript"/>
              </w:rPr>
              <w:t>2</w:t>
            </w:r>
          </w:p>
        </w:tc>
        <w:tc>
          <w:tcPr>
            <w:tcW w:w="1090" w:type="dxa"/>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1-hour</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659,100.0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3,622,700.0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3757</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740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0</w:t>
            </w:r>
          </w:p>
        </w:tc>
      </w:tr>
      <w:tr w:rsidR="00016576" w:rsidRPr="00016576" w:rsidTr="00756CA1">
        <w:trPr>
          <w:tblCellSpacing w:w="7" w:type="dxa"/>
        </w:trPr>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SO</w:t>
            </w:r>
            <w:r w:rsidRPr="00016576">
              <w:rPr>
                <w:rFonts w:eastAsia="Times New Roman" w:cs="Times New Roman"/>
                <w:szCs w:val="24"/>
                <w:vertAlign w:val="subscript"/>
              </w:rPr>
              <w:t>2</w:t>
            </w:r>
          </w:p>
        </w:tc>
        <w:tc>
          <w:tcPr>
            <w:tcW w:w="1090" w:type="dxa"/>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3-hour</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659,100.0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3,622,700.0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3757</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740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0</w:t>
            </w:r>
          </w:p>
        </w:tc>
      </w:tr>
      <w:tr w:rsidR="00016576" w:rsidRPr="00016576" w:rsidTr="00756CA1">
        <w:trPr>
          <w:tblCellSpacing w:w="7" w:type="dxa"/>
        </w:trPr>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SO</w:t>
            </w:r>
            <w:r w:rsidRPr="00016576">
              <w:rPr>
                <w:rFonts w:eastAsia="Times New Roman" w:cs="Times New Roman"/>
                <w:szCs w:val="24"/>
                <w:vertAlign w:val="subscript"/>
              </w:rPr>
              <w:t>2</w:t>
            </w:r>
          </w:p>
        </w:tc>
        <w:tc>
          <w:tcPr>
            <w:tcW w:w="1090" w:type="dxa"/>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24-hour</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658,600.0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3,623,000.0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3760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605</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0</w:t>
            </w:r>
          </w:p>
        </w:tc>
      </w:tr>
      <w:tr w:rsidR="00016576" w:rsidRPr="00016576" w:rsidTr="00756CA1">
        <w:trPr>
          <w:tblCellSpacing w:w="7" w:type="dxa"/>
        </w:trPr>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SO</w:t>
            </w:r>
            <w:r w:rsidRPr="00016576">
              <w:rPr>
                <w:rFonts w:eastAsia="Times New Roman" w:cs="Times New Roman"/>
                <w:szCs w:val="24"/>
                <w:vertAlign w:val="subscript"/>
              </w:rPr>
              <w:t>2</w:t>
            </w:r>
          </w:p>
        </w:tc>
        <w:tc>
          <w:tcPr>
            <w:tcW w:w="1090" w:type="dxa"/>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annual</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658,500.0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3,623,000.0</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3761</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582</w:t>
            </w:r>
          </w:p>
        </w:tc>
        <w:tc>
          <w:tcPr>
            <w:tcW w:w="0" w:type="auto"/>
            <w:vAlign w:val="center"/>
            <w:hideMark/>
          </w:tcPr>
          <w:p w:rsidR="00016576" w:rsidRPr="00016576" w:rsidRDefault="00016576" w:rsidP="00756CA1">
            <w:pPr>
              <w:spacing w:after="0" w:line="240" w:lineRule="auto"/>
              <w:jc w:val="center"/>
              <w:rPr>
                <w:rFonts w:eastAsia="Times New Roman" w:cs="Times New Roman"/>
                <w:szCs w:val="24"/>
              </w:rPr>
            </w:pPr>
            <w:r w:rsidRPr="00016576">
              <w:rPr>
                <w:rFonts w:eastAsia="Times New Roman" w:cs="Times New Roman"/>
                <w:szCs w:val="24"/>
              </w:rPr>
              <w:t>0</w:t>
            </w:r>
          </w:p>
        </w:tc>
      </w:tr>
    </w:tbl>
    <w:p w:rsidR="008F37B5" w:rsidRDefault="008F37B5"/>
    <w:sectPr w:rsidR="008F37B5" w:rsidSect="002078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E45" w:rsidRDefault="000A2E45" w:rsidP="00016576">
      <w:pPr>
        <w:spacing w:after="0" w:line="240" w:lineRule="auto"/>
      </w:pPr>
      <w:r>
        <w:separator/>
      </w:r>
    </w:p>
  </w:endnote>
  <w:endnote w:type="continuationSeparator" w:id="0">
    <w:p w:rsidR="000A2E45" w:rsidRDefault="000A2E45" w:rsidP="0001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363330"/>
      <w:docPartObj>
        <w:docPartGallery w:val="Page Numbers (Bottom of Page)"/>
        <w:docPartUnique/>
      </w:docPartObj>
    </w:sdtPr>
    <w:sdtEndPr/>
    <w:sdtContent>
      <w:sdt>
        <w:sdtPr>
          <w:id w:val="1728636285"/>
          <w:docPartObj>
            <w:docPartGallery w:val="Page Numbers (Top of Page)"/>
            <w:docPartUnique/>
          </w:docPartObj>
        </w:sdtPr>
        <w:sdtEndPr/>
        <w:sdtContent>
          <w:p w:rsidR="00CA7C1F" w:rsidRDefault="00CA7C1F" w:rsidP="00CA7C1F">
            <w:pPr>
              <w:pStyle w:val="NoSpacing"/>
              <w:jc w:val="center"/>
            </w:pPr>
            <w:r>
              <w:t xml:space="preserve">Page </w:t>
            </w:r>
            <w:r>
              <w:rPr>
                <w:szCs w:val="24"/>
              </w:rPr>
              <w:fldChar w:fldCharType="begin"/>
            </w:r>
            <w:r>
              <w:instrText xml:space="preserve"> PAGE </w:instrText>
            </w:r>
            <w:r>
              <w:rPr>
                <w:szCs w:val="24"/>
              </w:rPr>
              <w:fldChar w:fldCharType="separate"/>
            </w:r>
            <w:r>
              <w:rPr>
                <w:noProof/>
              </w:rPr>
              <w:t>2</w:t>
            </w:r>
            <w:r>
              <w:rPr>
                <w:szCs w:val="24"/>
              </w:rPr>
              <w:fldChar w:fldCharType="end"/>
            </w:r>
            <w:r>
              <w:t xml:space="preserve"> of </w:t>
            </w:r>
            <w:r>
              <w:rPr>
                <w:szCs w:val="24"/>
              </w:rPr>
              <w:fldChar w:fldCharType="begin"/>
            </w:r>
            <w:r>
              <w:instrText xml:space="preserve"> NUMPAGES  </w:instrText>
            </w:r>
            <w:r>
              <w:rPr>
                <w:szCs w:val="24"/>
              </w:rPr>
              <w:fldChar w:fldCharType="separate"/>
            </w:r>
            <w:r>
              <w:rPr>
                <w:noProof/>
              </w:rPr>
              <w:t>2</w:t>
            </w:r>
            <w:r>
              <w:rPr>
                <w:szCs w:val="24"/>
              </w:rPr>
              <w:fldChar w:fldCharType="end"/>
            </w:r>
          </w:p>
        </w:sdtContent>
      </w:sdt>
    </w:sdtContent>
  </w:sdt>
  <w:p w:rsidR="00CA7C1F" w:rsidRDefault="00CA7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E45" w:rsidRDefault="000A2E45" w:rsidP="00016576">
      <w:pPr>
        <w:spacing w:after="0" w:line="240" w:lineRule="auto"/>
      </w:pPr>
      <w:r>
        <w:separator/>
      </w:r>
    </w:p>
  </w:footnote>
  <w:footnote w:type="continuationSeparator" w:id="0">
    <w:p w:rsidR="000A2E45" w:rsidRDefault="000A2E45" w:rsidP="0001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576" w:rsidRPr="00016576" w:rsidRDefault="00016576" w:rsidP="00016576">
    <w:pPr>
      <w:spacing w:before="100" w:beforeAutospacing="1" w:after="100" w:afterAutospacing="1" w:line="240" w:lineRule="auto"/>
      <w:jc w:val="center"/>
      <w:rPr>
        <w:rFonts w:eastAsia="Times New Roman" w:cs="Times New Roman"/>
        <w:szCs w:val="24"/>
      </w:rPr>
    </w:pPr>
    <w:r w:rsidRPr="00016576">
      <w:rPr>
        <w:rFonts w:eastAsia="Times New Roman" w:cs="Times New Roman"/>
        <w:b/>
        <w:bCs/>
        <w:szCs w:val="24"/>
      </w:rPr>
      <w:t xml:space="preserve">Air Dispersion Modeling Summary for Permit No. </w:t>
    </w:r>
    <w:r w:rsidRPr="00016576">
      <w:rPr>
        <w:rFonts w:eastAsia="Times New Roman" w:cs="Times New Roman"/>
        <w:b/>
        <w:bCs/>
        <w:szCs w:val="24"/>
        <w:u w:val="single"/>
      </w:rPr>
      <w:t>3449M5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76"/>
    <w:rsid w:val="00016576"/>
    <w:rsid w:val="00036D46"/>
    <w:rsid w:val="000A2E45"/>
    <w:rsid w:val="000C5BC2"/>
    <w:rsid w:val="000E373F"/>
    <w:rsid w:val="002078AE"/>
    <w:rsid w:val="004C50CB"/>
    <w:rsid w:val="00504FC9"/>
    <w:rsid w:val="00531530"/>
    <w:rsid w:val="005A7996"/>
    <w:rsid w:val="006000A6"/>
    <w:rsid w:val="006312A0"/>
    <w:rsid w:val="006B3532"/>
    <w:rsid w:val="00756CA1"/>
    <w:rsid w:val="007A4715"/>
    <w:rsid w:val="008D7E44"/>
    <w:rsid w:val="008F37B5"/>
    <w:rsid w:val="00980D82"/>
    <w:rsid w:val="00A636DA"/>
    <w:rsid w:val="00AC3FAF"/>
    <w:rsid w:val="00AF010B"/>
    <w:rsid w:val="00B14C09"/>
    <w:rsid w:val="00CA7C1F"/>
    <w:rsid w:val="00D11391"/>
    <w:rsid w:val="00DD58D0"/>
    <w:rsid w:val="00E01DCA"/>
    <w:rsid w:val="00E02DC3"/>
    <w:rsid w:val="00E6752A"/>
    <w:rsid w:val="00EA7187"/>
    <w:rsid w:val="00F84B23"/>
    <w:rsid w:val="00FD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7FA5"/>
  <w15:chartTrackingRefBased/>
  <w15:docId w15:val="{1E69ADB0-C8FA-481C-8070-01362DC6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576"/>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57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16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76"/>
  </w:style>
  <w:style w:type="paragraph" w:styleId="Footer">
    <w:name w:val="footer"/>
    <w:basedOn w:val="Normal"/>
    <w:link w:val="FooterChar"/>
    <w:uiPriority w:val="99"/>
    <w:unhideWhenUsed/>
    <w:rsid w:val="0001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76"/>
  </w:style>
  <w:style w:type="paragraph" w:styleId="NoSpacing">
    <w:name w:val="No Spacing"/>
    <w:basedOn w:val="Normal"/>
    <w:uiPriority w:val="1"/>
    <w:qFormat/>
    <w:rsid w:val="00016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8876">
      <w:bodyDiv w:val="1"/>
      <w:marLeft w:val="0"/>
      <w:marRight w:val="0"/>
      <w:marTop w:val="0"/>
      <w:marBottom w:val="0"/>
      <w:divBdr>
        <w:top w:val="none" w:sz="0" w:space="0" w:color="auto"/>
        <w:left w:val="none" w:sz="0" w:space="0" w:color="auto"/>
        <w:bottom w:val="none" w:sz="0" w:space="0" w:color="auto"/>
        <w:right w:val="none" w:sz="0" w:space="0" w:color="auto"/>
      </w:divBdr>
      <w:divsChild>
        <w:div w:id="1957369575">
          <w:marLeft w:val="0"/>
          <w:marRight w:val="0"/>
          <w:marTop w:val="0"/>
          <w:marBottom w:val="0"/>
          <w:divBdr>
            <w:top w:val="none" w:sz="0" w:space="0" w:color="auto"/>
            <w:left w:val="none" w:sz="0" w:space="0" w:color="auto"/>
            <w:bottom w:val="none" w:sz="0" w:space="0" w:color="auto"/>
            <w:right w:val="none" w:sz="0" w:space="0" w:color="auto"/>
          </w:divBdr>
        </w:div>
        <w:div w:id="659309388">
          <w:marLeft w:val="0"/>
          <w:marRight w:val="0"/>
          <w:marTop w:val="0"/>
          <w:marBottom w:val="0"/>
          <w:divBdr>
            <w:top w:val="none" w:sz="0" w:space="0" w:color="auto"/>
            <w:left w:val="none" w:sz="0" w:space="0" w:color="auto"/>
            <w:bottom w:val="none" w:sz="0" w:space="0" w:color="auto"/>
            <w:right w:val="none" w:sz="0" w:space="0" w:color="auto"/>
          </w:divBdr>
        </w:div>
      </w:divsChild>
    </w:div>
    <w:div w:id="1900433253">
      <w:bodyDiv w:val="1"/>
      <w:marLeft w:val="0"/>
      <w:marRight w:val="0"/>
      <w:marTop w:val="0"/>
      <w:marBottom w:val="0"/>
      <w:divBdr>
        <w:top w:val="none" w:sz="0" w:space="0" w:color="auto"/>
        <w:left w:val="none" w:sz="0" w:space="0" w:color="auto"/>
        <w:bottom w:val="none" w:sz="0" w:space="0" w:color="auto"/>
        <w:right w:val="none" w:sz="0" w:space="0" w:color="auto"/>
      </w:divBdr>
    </w:div>
    <w:div w:id="19577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Peters</dc:creator>
  <cp:keywords/>
  <dc:description/>
  <cp:lastModifiedBy>Eric Peters</cp:lastModifiedBy>
  <cp:revision>21</cp:revision>
  <dcterms:created xsi:type="dcterms:W3CDTF">2018-11-01T20:51:00Z</dcterms:created>
  <dcterms:modified xsi:type="dcterms:W3CDTF">2018-11-14T23:49:00Z</dcterms:modified>
</cp:coreProperties>
</file>