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304A1B" w14:textId="3FBE9804" w:rsidR="00BF43B7" w:rsidRPr="00BF51FA" w:rsidRDefault="00BA7754" w:rsidP="00FA0F04">
      <w:pPr>
        <w:widowControl w:val="0"/>
        <w:jc w:val="center"/>
        <w:rPr>
          <w:b/>
          <w:bCs/>
          <w:sz w:val="28"/>
          <w:szCs w:val="28"/>
          <w:u w:val="single"/>
        </w:rPr>
      </w:pPr>
      <w:r w:rsidRPr="00BA7754">
        <w:rPr>
          <w:b/>
          <w:bCs/>
          <w:sz w:val="28"/>
          <w:szCs w:val="28"/>
          <w:highlight w:val="yellow"/>
          <w:u w:val="single"/>
        </w:rPr>
        <w:t>DRAFT</w:t>
      </w:r>
      <w:r>
        <w:rPr>
          <w:b/>
          <w:bCs/>
          <w:sz w:val="28"/>
          <w:szCs w:val="28"/>
          <w:u w:val="single"/>
        </w:rPr>
        <w:t xml:space="preserve"> </w:t>
      </w:r>
      <w:r w:rsidR="00BF43B7" w:rsidRPr="00BF51FA">
        <w:rPr>
          <w:b/>
          <w:bCs/>
          <w:sz w:val="28"/>
          <w:szCs w:val="28"/>
          <w:u w:val="single"/>
        </w:rPr>
        <w:t>Statement of Basis - Narrative</w:t>
      </w:r>
    </w:p>
    <w:p w14:paraId="3797DCEE" w14:textId="77777777" w:rsidR="00BF43B7" w:rsidRPr="00BF51FA" w:rsidRDefault="00451D83" w:rsidP="00FA0F04">
      <w:pPr>
        <w:pStyle w:val="Heading9"/>
        <w:keepNext w:val="0"/>
        <w:widowControl w:val="0"/>
      </w:pPr>
      <w:r>
        <w:t xml:space="preserve">Minor NSR </w:t>
      </w:r>
      <w:r w:rsidR="00BF43B7" w:rsidRPr="00BF51FA">
        <w:t xml:space="preserve">Permit </w:t>
      </w:r>
    </w:p>
    <w:p w14:paraId="5803583F" w14:textId="0CC611EE" w:rsidR="00BF43B7" w:rsidRDefault="00027B74" w:rsidP="00B16BB9">
      <w:r w:rsidRPr="00BF51FA">
        <w:rPr>
          <w:b/>
          <w:bCs/>
        </w:rPr>
        <w:t xml:space="preserve">Type of Permit Action:  </w:t>
      </w:r>
      <w:r w:rsidRPr="00BF51FA">
        <w:rPr>
          <w:b/>
          <w:bCs/>
        </w:rPr>
        <w:tab/>
      </w:r>
      <w:r w:rsidR="006973D8">
        <w:t xml:space="preserve">PSD </w:t>
      </w:r>
      <w:r w:rsidR="00BA7754">
        <w:t xml:space="preserve">major </w:t>
      </w:r>
      <w:r w:rsidR="006973D8">
        <w:t>modification</w:t>
      </w:r>
    </w:p>
    <w:p w14:paraId="135D5529" w14:textId="77777777" w:rsidR="00B16BB9" w:rsidRPr="00BF51FA" w:rsidRDefault="00B16BB9" w:rsidP="00B16BB9"/>
    <w:p w14:paraId="7E98CB6D" w14:textId="77777777" w:rsidR="00027B74" w:rsidRPr="00BF51FA" w:rsidRDefault="00027B74" w:rsidP="00027B74">
      <w:pPr>
        <w:widowControl w:val="0"/>
        <w:rPr>
          <w:b/>
          <w:bCs/>
        </w:rPr>
      </w:pPr>
      <w:r w:rsidRPr="00BF51FA">
        <w:rPr>
          <w:b/>
          <w:bCs/>
        </w:rPr>
        <w:t>Facility:</w:t>
      </w:r>
      <w:r w:rsidRPr="00BF51FA">
        <w:rPr>
          <w:b/>
        </w:rPr>
        <w:t xml:space="preserve"> Hobbs Generating Station</w:t>
      </w:r>
    </w:p>
    <w:p w14:paraId="46C10404" w14:textId="77777777" w:rsidR="00BF43B7" w:rsidRPr="00BF51FA" w:rsidRDefault="00BF43B7" w:rsidP="00FA0F04">
      <w:pPr>
        <w:widowControl w:val="0"/>
        <w:ind w:left="1440" w:hanging="1440"/>
      </w:pPr>
      <w:r w:rsidRPr="00BF51FA">
        <w:rPr>
          <w:b/>
          <w:bCs/>
        </w:rPr>
        <w:t>C</w:t>
      </w:r>
      <w:r w:rsidR="003A57D9" w:rsidRPr="00BF51FA">
        <w:rPr>
          <w:b/>
          <w:bCs/>
        </w:rPr>
        <w:t>ompany</w:t>
      </w:r>
      <w:r w:rsidRPr="00BF51FA">
        <w:rPr>
          <w:b/>
          <w:bCs/>
        </w:rPr>
        <w:t>:</w:t>
      </w:r>
      <w:r w:rsidRPr="00BF51FA">
        <w:rPr>
          <w:b/>
          <w:bCs/>
        </w:rPr>
        <w:tab/>
      </w:r>
      <w:r w:rsidRPr="00BF51FA">
        <w:t>Lea Power Partners LLC</w:t>
      </w:r>
    </w:p>
    <w:p w14:paraId="75C3EB2F" w14:textId="18D4FF8E" w:rsidR="00BF43B7" w:rsidRPr="00BF51FA" w:rsidRDefault="00BF43B7" w:rsidP="00FA0F04">
      <w:pPr>
        <w:widowControl w:val="0"/>
        <w:tabs>
          <w:tab w:val="left" w:pos="-1440"/>
        </w:tabs>
      </w:pPr>
      <w:r w:rsidRPr="00BF51FA">
        <w:rPr>
          <w:b/>
          <w:bCs/>
        </w:rPr>
        <w:t>P</w:t>
      </w:r>
      <w:r w:rsidR="003A57D9" w:rsidRPr="00BF51FA">
        <w:rPr>
          <w:b/>
          <w:bCs/>
        </w:rPr>
        <w:t>ermit</w:t>
      </w:r>
      <w:r w:rsidRPr="00BF51FA">
        <w:rPr>
          <w:b/>
          <w:bCs/>
        </w:rPr>
        <w:t xml:space="preserve"> N</w:t>
      </w:r>
      <w:r w:rsidR="003A57D9" w:rsidRPr="00BF51FA">
        <w:rPr>
          <w:b/>
          <w:bCs/>
        </w:rPr>
        <w:t>o</w:t>
      </w:r>
      <w:r w:rsidR="00F50478" w:rsidRPr="00BF51FA">
        <w:rPr>
          <w:b/>
          <w:bCs/>
        </w:rPr>
        <w:t>(s)</w:t>
      </w:r>
      <w:r w:rsidRPr="00BF51FA">
        <w:rPr>
          <w:b/>
          <w:bCs/>
        </w:rPr>
        <w:t>.</w:t>
      </w:r>
      <w:r w:rsidRPr="00BF51FA">
        <w:t>:  PSD3449</w:t>
      </w:r>
      <w:r w:rsidR="0075202E" w:rsidRPr="00BF51FA">
        <w:t>-M</w:t>
      </w:r>
      <w:r w:rsidR="00BA7754">
        <w:t>5</w:t>
      </w:r>
      <w:r w:rsidR="00F50478" w:rsidRPr="00BF51FA">
        <w:t xml:space="preserve"> and P244</w:t>
      </w:r>
      <w:r w:rsidR="00451D83">
        <w:t>-M4</w:t>
      </w:r>
    </w:p>
    <w:p w14:paraId="78227331" w14:textId="032B51D9" w:rsidR="00BF43B7" w:rsidRPr="00BF51FA" w:rsidRDefault="00F50478" w:rsidP="00FA0F04">
      <w:pPr>
        <w:widowControl w:val="0"/>
      </w:pPr>
      <w:r w:rsidRPr="00BF51FA">
        <w:rPr>
          <w:b/>
          <w:bCs/>
        </w:rPr>
        <w:t>Tempo/</w:t>
      </w:r>
      <w:r w:rsidR="00BF43B7" w:rsidRPr="00BF51FA">
        <w:rPr>
          <w:b/>
          <w:bCs/>
        </w:rPr>
        <w:t>IDEA ID No.</w:t>
      </w:r>
      <w:r w:rsidR="00BF43B7" w:rsidRPr="00BF51FA">
        <w:t>:  25726 - PRN201</w:t>
      </w:r>
      <w:r w:rsidR="00BA7754">
        <w:t>8</w:t>
      </w:r>
      <w:r w:rsidR="00BF43B7" w:rsidRPr="00BF51FA">
        <w:t>0001</w:t>
      </w:r>
    </w:p>
    <w:p w14:paraId="5CAA0839" w14:textId="65E581DB" w:rsidR="00BF43B7" w:rsidRPr="00BF51FA" w:rsidRDefault="00BF43B7" w:rsidP="00FA0F04">
      <w:pPr>
        <w:widowControl w:val="0"/>
      </w:pPr>
      <w:r w:rsidRPr="00BF51FA">
        <w:rPr>
          <w:b/>
          <w:bCs/>
        </w:rPr>
        <w:t>P</w:t>
      </w:r>
      <w:r w:rsidR="003A57D9" w:rsidRPr="00BF51FA">
        <w:rPr>
          <w:b/>
          <w:bCs/>
        </w:rPr>
        <w:t>ermit</w:t>
      </w:r>
      <w:r w:rsidRPr="00BF51FA">
        <w:rPr>
          <w:b/>
          <w:bCs/>
        </w:rPr>
        <w:t xml:space="preserve"> W</w:t>
      </w:r>
      <w:r w:rsidR="003A57D9" w:rsidRPr="00BF51FA">
        <w:rPr>
          <w:b/>
          <w:bCs/>
        </w:rPr>
        <w:t>riter</w:t>
      </w:r>
      <w:r w:rsidRPr="00BF51FA">
        <w:rPr>
          <w:b/>
          <w:bCs/>
        </w:rPr>
        <w:t>:</w:t>
      </w:r>
      <w:r w:rsidR="0075202E" w:rsidRPr="00BF51FA">
        <w:rPr>
          <w:b/>
          <w:bCs/>
        </w:rPr>
        <w:tab/>
      </w:r>
      <w:r w:rsidR="006973D8" w:rsidRPr="006973D8">
        <w:rPr>
          <w:bCs/>
        </w:rPr>
        <w:t>Kirby Olson</w:t>
      </w:r>
    </w:p>
    <w:p w14:paraId="020A626E" w14:textId="77777777" w:rsidR="00BF43B7" w:rsidRPr="00BF51FA" w:rsidRDefault="00BF43B7" w:rsidP="00FA0F04">
      <w:pPr>
        <w:widowControl w:val="0"/>
        <w:rPr>
          <w:b/>
          <w:bCs/>
          <w:u w:val="single"/>
        </w:rPr>
      </w:pPr>
    </w:p>
    <w:p w14:paraId="636EC2C4" w14:textId="77777777" w:rsidR="00BF43B7" w:rsidRPr="00BF51FA" w:rsidRDefault="00BF43B7" w:rsidP="00FA0F04">
      <w:pPr>
        <w:widowControl w:val="0"/>
        <w:jc w:val="both"/>
        <w:rPr>
          <w:b/>
          <w:bCs/>
          <w:u w:val="single"/>
        </w:rPr>
      </w:pPr>
      <w:r w:rsidRPr="00BF51FA">
        <w:rPr>
          <w:b/>
          <w:bCs/>
          <w:u w:val="single"/>
        </w:rPr>
        <w:t>Fee Tracking</w:t>
      </w:r>
    </w:p>
    <w:p w14:paraId="2B32CAE0" w14:textId="77777777" w:rsidR="00BF43B7" w:rsidRPr="00BF51FA" w:rsidRDefault="00BF43B7" w:rsidP="00FA0F04">
      <w:pPr>
        <w:widowControl w:val="0"/>
        <w:jc w:val="both"/>
        <w:rPr>
          <w:b/>
          <w:bCs/>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9000"/>
      </w:tblGrid>
      <w:tr w:rsidR="00BF43B7" w:rsidRPr="00BF51FA" w14:paraId="3758EFBB" w14:textId="77777777">
        <w:trPr>
          <w:cantSplit/>
        </w:trPr>
        <w:tc>
          <w:tcPr>
            <w:tcW w:w="360" w:type="dxa"/>
            <w:vMerge w:val="restart"/>
            <w:shd w:val="clear" w:color="auto" w:fill="F3F3F3"/>
            <w:textDirection w:val="tbRl"/>
          </w:tcPr>
          <w:p w14:paraId="569DAC8B" w14:textId="77777777" w:rsidR="00BF43B7" w:rsidRPr="00BF51FA" w:rsidRDefault="00BF43B7" w:rsidP="00FA0F04">
            <w:pPr>
              <w:widowControl w:val="0"/>
              <w:ind w:left="113" w:right="113"/>
              <w:jc w:val="center"/>
              <w:rPr>
                <w:b/>
                <w:bCs/>
              </w:rPr>
            </w:pPr>
            <w:r w:rsidRPr="00BF51FA">
              <w:rPr>
                <w:b/>
                <w:bCs/>
                <w:sz w:val="22"/>
                <w:szCs w:val="22"/>
              </w:rPr>
              <w:t>Tracking</w:t>
            </w:r>
          </w:p>
        </w:tc>
        <w:tc>
          <w:tcPr>
            <w:tcW w:w="9000" w:type="dxa"/>
          </w:tcPr>
          <w:p w14:paraId="79F14109" w14:textId="44E535E2" w:rsidR="00BF43B7" w:rsidRPr="00BF51FA" w:rsidRDefault="00BF43B7" w:rsidP="00FA0F04">
            <w:pPr>
              <w:widowControl w:val="0"/>
              <w:jc w:val="both"/>
            </w:pPr>
            <w:r w:rsidRPr="00BF51FA">
              <w:rPr>
                <w:b/>
                <w:bCs/>
              </w:rPr>
              <w:t>NSR tracking entries completed:</w:t>
            </w:r>
            <w:r w:rsidRPr="00BF51FA">
              <w:t xml:space="preserve"> [</w:t>
            </w:r>
            <w:r w:rsidR="00E82279">
              <w:t>X</w:t>
            </w:r>
            <w:r w:rsidRPr="00BF51FA">
              <w:t>] Yes   [] No</w:t>
            </w:r>
          </w:p>
        </w:tc>
      </w:tr>
      <w:tr w:rsidR="00BF43B7" w:rsidRPr="00BF51FA" w14:paraId="02A5CB9C" w14:textId="77777777">
        <w:trPr>
          <w:cantSplit/>
        </w:trPr>
        <w:tc>
          <w:tcPr>
            <w:tcW w:w="360" w:type="dxa"/>
            <w:vMerge/>
            <w:shd w:val="clear" w:color="auto" w:fill="F3F3F3"/>
          </w:tcPr>
          <w:p w14:paraId="69F19D57" w14:textId="77777777" w:rsidR="00BF43B7" w:rsidRPr="00BF51FA" w:rsidRDefault="00BF43B7" w:rsidP="00FA0F04">
            <w:pPr>
              <w:widowControl w:val="0"/>
              <w:jc w:val="both"/>
            </w:pPr>
          </w:p>
        </w:tc>
        <w:tc>
          <w:tcPr>
            <w:tcW w:w="9000" w:type="dxa"/>
          </w:tcPr>
          <w:p w14:paraId="752E0C96" w14:textId="487228F2" w:rsidR="00BF43B7" w:rsidRPr="00BF51FA" w:rsidRDefault="00BF43B7" w:rsidP="00FA0F04">
            <w:pPr>
              <w:widowControl w:val="0"/>
              <w:jc w:val="both"/>
            </w:pPr>
            <w:r w:rsidRPr="00BF51FA">
              <w:rPr>
                <w:b/>
                <w:bCs/>
              </w:rPr>
              <w:t>NSR tracking page attached to front cover of permit folder:</w:t>
            </w:r>
            <w:r w:rsidRPr="00BF51FA">
              <w:t xml:space="preserve"> [</w:t>
            </w:r>
            <w:r w:rsidR="00E82279">
              <w:t>X</w:t>
            </w:r>
            <w:r w:rsidRPr="00BF51FA">
              <w:t>] Yes   [] No</w:t>
            </w:r>
          </w:p>
        </w:tc>
      </w:tr>
      <w:tr w:rsidR="00BF43B7" w:rsidRPr="00BF51FA" w14:paraId="46039FF6" w14:textId="77777777">
        <w:trPr>
          <w:cantSplit/>
        </w:trPr>
        <w:tc>
          <w:tcPr>
            <w:tcW w:w="360" w:type="dxa"/>
            <w:vMerge/>
            <w:shd w:val="clear" w:color="auto" w:fill="F3F3F3"/>
          </w:tcPr>
          <w:p w14:paraId="2D80CF8D" w14:textId="77777777" w:rsidR="00BF43B7" w:rsidRPr="00BF51FA" w:rsidRDefault="00BF43B7" w:rsidP="00FA0F04">
            <w:pPr>
              <w:widowControl w:val="0"/>
              <w:jc w:val="both"/>
            </w:pPr>
          </w:p>
        </w:tc>
        <w:tc>
          <w:tcPr>
            <w:tcW w:w="9000" w:type="dxa"/>
          </w:tcPr>
          <w:p w14:paraId="41A730B0" w14:textId="2FEFB199" w:rsidR="00BF43B7" w:rsidRPr="00BF51FA" w:rsidRDefault="00BF43B7" w:rsidP="00E82279">
            <w:pPr>
              <w:widowControl w:val="0"/>
              <w:jc w:val="both"/>
              <w:rPr>
                <w:b/>
                <w:bCs/>
              </w:rPr>
            </w:pPr>
            <w:r w:rsidRPr="00BF51FA">
              <w:rPr>
                <w:b/>
                <w:bCs/>
              </w:rPr>
              <w:t xml:space="preserve">Paid Invoice Attached: </w:t>
            </w:r>
            <w:r w:rsidRPr="00BF51FA">
              <w:t>[] Yes   [] No</w:t>
            </w:r>
          </w:p>
        </w:tc>
      </w:tr>
      <w:tr w:rsidR="00BF43B7" w:rsidRPr="00BF51FA" w14:paraId="23DAF9ED" w14:textId="77777777">
        <w:trPr>
          <w:cantSplit/>
        </w:trPr>
        <w:tc>
          <w:tcPr>
            <w:tcW w:w="360" w:type="dxa"/>
            <w:vMerge/>
            <w:shd w:val="clear" w:color="auto" w:fill="F3F3F3"/>
          </w:tcPr>
          <w:p w14:paraId="141C79E9" w14:textId="77777777" w:rsidR="00BF43B7" w:rsidRPr="00BF51FA" w:rsidRDefault="00BF43B7" w:rsidP="00FA0F04">
            <w:pPr>
              <w:widowControl w:val="0"/>
              <w:jc w:val="both"/>
            </w:pPr>
          </w:p>
        </w:tc>
        <w:tc>
          <w:tcPr>
            <w:tcW w:w="9000" w:type="dxa"/>
          </w:tcPr>
          <w:p w14:paraId="237D9572" w14:textId="137407B2" w:rsidR="00BF43B7" w:rsidRPr="00BF51FA" w:rsidRDefault="00BF43B7" w:rsidP="00E82279">
            <w:pPr>
              <w:widowControl w:val="0"/>
              <w:jc w:val="both"/>
              <w:rPr>
                <w:b/>
                <w:bCs/>
              </w:rPr>
            </w:pPr>
            <w:r w:rsidRPr="00BF51FA">
              <w:rPr>
                <w:b/>
                <w:bCs/>
              </w:rPr>
              <w:t xml:space="preserve">Balance Due Invoice Attached: </w:t>
            </w:r>
            <w:r w:rsidRPr="00BF51FA">
              <w:t>[</w:t>
            </w:r>
            <w:r w:rsidR="00BA7754">
              <w:t>X</w:t>
            </w:r>
            <w:r w:rsidRPr="00BF51FA">
              <w:t>] Yes   [] No</w:t>
            </w:r>
          </w:p>
        </w:tc>
      </w:tr>
      <w:tr w:rsidR="00BF43B7" w:rsidRPr="00BF51FA" w14:paraId="48E4F872" w14:textId="77777777">
        <w:trPr>
          <w:cantSplit/>
          <w:trHeight w:val="305"/>
        </w:trPr>
        <w:tc>
          <w:tcPr>
            <w:tcW w:w="360" w:type="dxa"/>
            <w:vMerge/>
            <w:shd w:val="clear" w:color="auto" w:fill="F3F3F3"/>
          </w:tcPr>
          <w:p w14:paraId="22B2C5D4" w14:textId="77777777" w:rsidR="00BF43B7" w:rsidRPr="00BF51FA" w:rsidRDefault="00BF43B7" w:rsidP="00FA0F04">
            <w:pPr>
              <w:widowControl w:val="0"/>
              <w:jc w:val="both"/>
            </w:pPr>
          </w:p>
        </w:tc>
        <w:tc>
          <w:tcPr>
            <w:tcW w:w="9000" w:type="dxa"/>
          </w:tcPr>
          <w:p w14:paraId="3F5C097E" w14:textId="65580237" w:rsidR="00BF43B7" w:rsidRPr="00BF51FA" w:rsidRDefault="00BF43B7" w:rsidP="00283C68">
            <w:pPr>
              <w:widowControl w:val="0"/>
              <w:jc w:val="both"/>
              <w:rPr>
                <w:b/>
                <w:bCs/>
              </w:rPr>
            </w:pPr>
            <w:r w:rsidRPr="00BF51FA">
              <w:rPr>
                <w:b/>
                <w:bCs/>
              </w:rPr>
              <w:t>Invoice Comments:</w:t>
            </w:r>
            <w:r w:rsidR="00693668">
              <w:rPr>
                <w:b/>
                <w:bCs/>
              </w:rPr>
              <w:t xml:space="preserve">  </w:t>
            </w:r>
          </w:p>
        </w:tc>
      </w:tr>
    </w:tbl>
    <w:p w14:paraId="131C06CE" w14:textId="77777777" w:rsidR="00BF43B7" w:rsidRPr="00BF51FA" w:rsidRDefault="00BF43B7" w:rsidP="00FA0F04">
      <w:pPr>
        <w:widowControl w:val="0"/>
        <w:rPr>
          <w:b/>
          <w:bCs/>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4680"/>
        <w:gridCol w:w="4320"/>
      </w:tblGrid>
      <w:tr w:rsidR="00BF43B7" w:rsidRPr="00BF51FA" w14:paraId="79FC558C" w14:textId="77777777">
        <w:trPr>
          <w:cantSplit/>
          <w:trHeight w:val="330"/>
        </w:trPr>
        <w:tc>
          <w:tcPr>
            <w:tcW w:w="360" w:type="dxa"/>
            <w:vMerge w:val="restart"/>
            <w:shd w:val="clear" w:color="auto" w:fill="F3F3F3"/>
            <w:textDirection w:val="tbRl"/>
          </w:tcPr>
          <w:p w14:paraId="353DDB10" w14:textId="77777777" w:rsidR="00BF43B7" w:rsidRPr="00BF51FA" w:rsidRDefault="004627BB" w:rsidP="00FA0F04">
            <w:pPr>
              <w:widowControl w:val="0"/>
              <w:ind w:left="113" w:right="113"/>
              <w:rPr>
                <w:b/>
                <w:bCs/>
                <w:u w:val="single"/>
              </w:rPr>
            </w:pPr>
            <w:r w:rsidRPr="00BF51FA">
              <w:rPr>
                <w:b/>
                <w:bCs/>
                <w:sz w:val="22"/>
                <w:szCs w:val="22"/>
              </w:rPr>
              <w:t xml:space="preserve">Permit </w:t>
            </w:r>
            <w:r w:rsidR="00BF43B7" w:rsidRPr="00BF51FA">
              <w:rPr>
                <w:b/>
                <w:bCs/>
                <w:sz w:val="22"/>
                <w:szCs w:val="22"/>
              </w:rPr>
              <w:t>Review</w:t>
            </w:r>
          </w:p>
        </w:tc>
        <w:tc>
          <w:tcPr>
            <w:tcW w:w="4680" w:type="dxa"/>
          </w:tcPr>
          <w:p w14:paraId="2109C091" w14:textId="76D33465" w:rsidR="00BF43B7" w:rsidRPr="00A822A9" w:rsidRDefault="00BF43B7" w:rsidP="001B7049">
            <w:pPr>
              <w:widowControl w:val="0"/>
              <w:rPr>
                <w:u w:val="single"/>
              </w:rPr>
            </w:pPr>
            <w:r w:rsidRPr="00A822A9">
              <w:rPr>
                <w:b/>
                <w:bCs/>
              </w:rPr>
              <w:t>Date to Enforcement:</w:t>
            </w:r>
            <w:r w:rsidR="00841672" w:rsidRPr="00A822A9">
              <w:t xml:space="preserve"> </w:t>
            </w:r>
            <w:r w:rsidR="00BA7754">
              <w:t>11/21/18</w:t>
            </w:r>
          </w:p>
        </w:tc>
        <w:tc>
          <w:tcPr>
            <w:tcW w:w="4320" w:type="dxa"/>
          </w:tcPr>
          <w:p w14:paraId="0E2D46A8" w14:textId="21092677" w:rsidR="00BF43B7" w:rsidRPr="00A822A9" w:rsidRDefault="00BF43B7" w:rsidP="001B7049">
            <w:pPr>
              <w:widowControl w:val="0"/>
              <w:rPr>
                <w:u w:val="single"/>
              </w:rPr>
            </w:pPr>
            <w:r w:rsidRPr="00A822A9">
              <w:rPr>
                <w:b/>
                <w:bCs/>
              </w:rPr>
              <w:t>Inspector Reviewing:</w:t>
            </w:r>
            <w:r w:rsidRPr="00A822A9">
              <w:t xml:space="preserve"> </w:t>
            </w:r>
          </w:p>
        </w:tc>
      </w:tr>
      <w:tr w:rsidR="004627BB" w:rsidRPr="00BF51FA" w14:paraId="6B35C9AA" w14:textId="77777777">
        <w:trPr>
          <w:cantSplit/>
          <w:trHeight w:val="330"/>
        </w:trPr>
        <w:tc>
          <w:tcPr>
            <w:tcW w:w="360" w:type="dxa"/>
            <w:vMerge/>
            <w:shd w:val="clear" w:color="auto" w:fill="F3F3F3"/>
          </w:tcPr>
          <w:p w14:paraId="606AD6BD" w14:textId="77777777" w:rsidR="004627BB" w:rsidRPr="00BF51FA" w:rsidRDefault="004627BB" w:rsidP="00FA0F04">
            <w:pPr>
              <w:widowControl w:val="0"/>
              <w:rPr>
                <w:b/>
                <w:bCs/>
                <w:u w:val="single"/>
              </w:rPr>
            </w:pPr>
          </w:p>
        </w:tc>
        <w:tc>
          <w:tcPr>
            <w:tcW w:w="4680" w:type="dxa"/>
          </w:tcPr>
          <w:p w14:paraId="7DBD0CAA" w14:textId="771571D4" w:rsidR="004627BB" w:rsidRPr="00BF51FA" w:rsidRDefault="004627BB" w:rsidP="001B7049">
            <w:pPr>
              <w:widowControl w:val="0"/>
            </w:pPr>
            <w:r w:rsidRPr="00BF51FA">
              <w:rPr>
                <w:b/>
                <w:bCs/>
              </w:rPr>
              <w:t>Date Enf. Review Completed:</w:t>
            </w:r>
            <w:r w:rsidRPr="00BF51FA">
              <w:t xml:space="preserve"> </w:t>
            </w:r>
          </w:p>
        </w:tc>
        <w:tc>
          <w:tcPr>
            <w:tcW w:w="4320" w:type="dxa"/>
          </w:tcPr>
          <w:p w14:paraId="589BC733" w14:textId="77777777" w:rsidR="004627BB" w:rsidRPr="00BF51FA" w:rsidRDefault="004627BB" w:rsidP="00FA0F04">
            <w:pPr>
              <w:widowControl w:val="0"/>
            </w:pPr>
            <w:r w:rsidRPr="00BF51FA">
              <w:rPr>
                <w:b/>
                <w:bCs/>
              </w:rPr>
              <w:t>Date of Reply:</w:t>
            </w:r>
            <w:r w:rsidRPr="00BF51FA">
              <w:t xml:space="preserve"> (if necessary)</w:t>
            </w:r>
          </w:p>
        </w:tc>
      </w:tr>
      <w:tr w:rsidR="004627BB" w:rsidRPr="00BF51FA" w14:paraId="6D12B7B2" w14:textId="77777777">
        <w:trPr>
          <w:cantSplit/>
          <w:trHeight w:val="330"/>
        </w:trPr>
        <w:tc>
          <w:tcPr>
            <w:tcW w:w="360" w:type="dxa"/>
            <w:vMerge/>
            <w:shd w:val="clear" w:color="auto" w:fill="F3F3F3"/>
          </w:tcPr>
          <w:p w14:paraId="09866C4E" w14:textId="77777777" w:rsidR="004627BB" w:rsidRPr="00BF51FA" w:rsidRDefault="004627BB" w:rsidP="00FA0F04">
            <w:pPr>
              <w:widowControl w:val="0"/>
              <w:rPr>
                <w:b/>
                <w:bCs/>
                <w:u w:val="single"/>
              </w:rPr>
            </w:pPr>
          </w:p>
        </w:tc>
        <w:tc>
          <w:tcPr>
            <w:tcW w:w="4680" w:type="dxa"/>
            <w:shd w:val="clear" w:color="auto" w:fill="FFFFFF"/>
          </w:tcPr>
          <w:p w14:paraId="04F5B565" w14:textId="4C486EBA" w:rsidR="004627BB" w:rsidRPr="00BF51FA" w:rsidRDefault="004627BB" w:rsidP="001B7049">
            <w:pPr>
              <w:widowControl w:val="0"/>
            </w:pPr>
            <w:r w:rsidRPr="00BF51FA">
              <w:rPr>
                <w:b/>
                <w:bCs/>
              </w:rPr>
              <w:t>Date to Applicant:</w:t>
            </w:r>
            <w:r w:rsidRPr="00BF51FA">
              <w:t xml:space="preserve"> </w:t>
            </w:r>
            <w:r w:rsidR="00BA7754">
              <w:t>11/21/18</w:t>
            </w:r>
          </w:p>
        </w:tc>
        <w:tc>
          <w:tcPr>
            <w:tcW w:w="4320" w:type="dxa"/>
            <w:shd w:val="clear" w:color="auto" w:fill="FFFFFF"/>
          </w:tcPr>
          <w:p w14:paraId="613C9AFD" w14:textId="11CCA094" w:rsidR="004627BB" w:rsidRPr="00BF51FA" w:rsidRDefault="004627BB" w:rsidP="001B7049">
            <w:pPr>
              <w:widowControl w:val="0"/>
            </w:pPr>
            <w:r w:rsidRPr="00BF51FA">
              <w:rPr>
                <w:b/>
                <w:bCs/>
              </w:rPr>
              <w:t>Date of Reply:</w:t>
            </w:r>
            <w:r w:rsidR="00283C68">
              <w:rPr>
                <w:b/>
                <w:bCs/>
              </w:rPr>
              <w:t xml:space="preserve"> </w:t>
            </w:r>
          </w:p>
        </w:tc>
      </w:tr>
      <w:tr w:rsidR="004627BB" w:rsidRPr="00BF51FA" w14:paraId="7810E70B" w14:textId="77777777">
        <w:trPr>
          <w:cantSplit/>
          <w:trHeight w:val="330"/>
        </w:trPr>
        <w:tc>
          <w:tcPr>
            <w:tcW w:w="360" w:type="dxa"/>
            <w:vMerge/>
            <w:shd w:val="clear" w:color="auto" w:fill="F3F3F3"/>
          </w:tcPr>
          <w:p w14:paraId="021E1510" w14:textId="77777777" w:rsidR="004627BB" w:rsidRPr="00BF51FA" w:rsidRDefault="004627BB" w:rsidP="00FA0F04">
            <w:pPr>
              <w:widowControl w:val="0"/>
              <w:rPr>
                <w:b/>
                <w:bCs/>
                <w:u w:val="single"/>
              </w:rPr>
            </w:pPr>
          </w:p>
        </w:tc>
        <w:tc>
          <w:tcPr>
            <w:tcW w:w="4680" w:type="dxa"/>
            <w:shd w:val="clear" w:color="auto" w:fill="FFFFFF"/>
          </w:tcPr>
          <w:p w14:paraId="571AC1C8" w14:textId="7238FA6C" w:rsidR="004627BB" w:rsidRPr="00BF51FA" w:rsidRDefault="004627BB" w:rsidP="001B7049">
            <w:pPr>
              <w:widowControl w:val="0"/>
              <w:rPr>
                <w:b/>
                <w:bCs/>
              </w:rPr>
            </w:pPr>
            <w:r w:rsidRPr="00BF51FA">
              <w:rPr>
                <w:b/>
                <w:bCs/>
              </w:rPr>
              <w:t>Date of Comments from EPA:</w:t>
            </w:r>
            <w:r w:rsidR="003D2FB1" w:rsidRPr="00BF51FA">
              <w:rPr>
                <w:b/>
                <w:bCs/>
              </w:rPr>
              <w:t xml:space="preserve"> </w:t>
            </w:r>
          </w:p>
        </w:tc>
        <w:tc>
          <w:tcPr>
            <w:tcW w:w="4320" w:type="dxa"/>
            <w:shd w:val="clear" w:color="auto" w:fill="FFFFFF"/>
          </w:tcPr>
          <w:p w14:paraId="3888EDA0" w14:textId="66AE9D28" w:rsidR="004627BB" w:rsidRPr="00BF51FA" w:rsidRDefault="004627BB" w:rsidP="001B7049">
            <w:pPr>
              <w:widowControl w:val="0"/>
              <w:rPr>
                <w:b/>
                <w:bCs/>
              </w:rPr>
            </w:pPr>
            <w:r w:rsidRPr="00BF51FA">
              <w:rPr>
                <w:b/>
                <w:bCs/>
              </w:rPr>
              <w:t>Date to EPA:</w:t>
            </w:r>
            <w:r w:rsidR="003D2FB1" w:rsidRPr="00BF51FA">
              <w:rPr>
                <w:b/>
                <w:bCs/>
              </w:rPr>
              <w:t xml:space="preserve"> </w:t>
            </w:r>
            <w:r w:rsidR="00BA7754">
              <w:t>11/21/18</w:t>
            </w:r>
          </w:p>
        </w:tc>
      </w:tr>
      <w:tr w:rsidR="004627BB" w:rsidRPr="00BF51FA" w14:paraId="46ADF447" w14:textId="77777777">
        <w:trPr>
          <w:cantSplit/>
          <w:trHeight w:val="330"/>
        </w:trPr>
        <w:tc>
          <w:tcPr>
            <w:tcW w:w="360" w:type="dxa"/>
            <w:vMerge/>
            <w:shd w:val="clear" w:color="auto" w:fill="F3F3F3"/>
          </w:tcPr>
          <w:p w14:paraId="3B7C7B9F" w14:textId="77777777" w:rsidR="004627BB" w:rsidRPr="00BF51FA" w:rsidRDefault="004627BB" w:rsidP="00FA0F04">
            <w:pPr>
              <w:widowControl w:val="0"/>
              <w:rPr>
                <w:b/>
                <w:bCs/>
                <w:u w:val="single"/>
              </w:rPr>
            </w:pPr>
          </w:p>
        </w:tc>
        <w:tc>
          <w:tcPr>
            <w:tcW w:w="9000" w:type="dxa"/>
            <w:gridSpan w:val="2"/>
            <w:shd w:val="clear" w:color="auto" w:fill="FFFFFF"/>
          </w:tcPr>
          <w:p w14:paraId="319F4885" w14:textId="0EEBE4F8" w:rsidR="004627BB" w:rsidRPr="00BF51FA" w:rsidRDefault="004627BB" w:rsidP="00AD4A5F">
            <w:pPr>
              <w:widowControl w:val="0"/>
              <w:rPr>
                <w:b/>
                <w:bCs/>
              </w:rPr>
            </w:pPr>
            <w:r w:rsidRPr="00BF51FA">
              <w:rPr>
                <w:b/>
                <w:bCs/>
              </w:rPr>
              <w:t xml:space="preserve">Date to </w:t>
            </w:r>
            <w:r w:rsidR="003B5454" w:rsidRPr="00BF51FA">
              <w:rPr>
                <w:b/>
                <w:bCs/>
              </w:rPr>
              <w:t>Supervisor</w:t>
            </w:r>
            <w:r w:rsidRPr="00BF51FA">
              <w:rPr>
                <w:b/>
                <w:bCs/>
              </w:rPr>
              <w:t>:</w:t>
            </w:r>
            <w:r w:rsidRPr="00BF51FA">
              <w:t xml:space="preserve"> </w:t>
            </w:r>
          </w:p>
        </w:tc>
      </w:tr>
    </w:tbl>
    <w:p w14:paraId="1A811918" w14:textId="77777777" w:rsidR="00BF43B7" w:rsidRDefault="00BF43B7" w:rsidP="00FA0F04">
      <w:pPr>
        <w:widowControl w:val="0"/>
        <w:jc w:val="both"/>
        <w:rPr>
          <w:b/>
          <w:bCs/>
        </w:rPr>
      </w:pPr>
    </w:p>
    <w:p w14:paraId="7C2D44A5" w14:textId="77777777" w:rsidR="00BF43B7" w:rsidRPr="00BF51FA" w:rsidRDefault="00BF43B7" w:rsidP="00FA0F04">
      <w:pPr>
        <w:widowControl w:val="0"/>
        <w:rPr>
          <w:b/>
          <w:bCs/>
          <w:u w:val="single"/>
        </w:rPr>
      </w:pPr>
    </w:p>
    <w:p w14:paraId="6FAF5F75" w14:textId="77777777" w:rsidR="00BF43B7" w:rsidRPr="00BF51FA" w:rsidRDefault="00BF43B7" w:rsidP="00FA0F04">
      <w:pPr>
        <w:widowControl w:val="0"/>
        <w:numPr>
          <w:ilvl w:val="0"/>
          <w:numId w:val="1"/>
        </w:numPr>
        <w:jc w:val="both"/>
      </w:pPr>
      <w:r w:rsidRPr="00BF51FA">
        <w:rPr>
          <w:b/>
          <w:bCs/>
          <w:u w:val="single"/>
        </w:rPr>
        <w:t xml:space="preserve">Plant Process Description:  </w:t>
      </w:r>
      <w:r w:rsidRPr="00BF51FA">
        <w:t xml:space="preserve">  </w:t>
      </w:r>
    </w:p>
    <w:p w14:paraId="35EDEC89" w14:textId="61A6F46B" w:rsidR="0075202E" w:rsidRPr="00BF51FA" w:rsidRDefault="00C03860" w:rsidP="00FA0F04">
      <w:pPr>
        <w:pStyle w:val="BodyText"/>
        <w:widowControl w:val="0"/>
        <w:ind w:firstLine="720"/>
        <w:jc w:val="both"/>
      </w:pPr>
      <w:r w:rsidRPr="00BF51FA">
        <w:t>The facility is a natural</w:t>
      </w:r>
      <w:r w:rsidR="003A0493">
        <w:t xml:space="preserve"> gas fueled, nominal 60</w:t>
      </w:r>
      <w:r w:rsidR="00C16C6F">
        <w:t>4</w:t>
      </w:r>
      <w:r w:rsidR="003A0493">
        <w:t xml:space="preserve"> MW net</w:t>
      </w:r>
      <w:r w:rsidRPr="00BF51FA">
        <w:t xml:space="preserve"> output power plant that produces electrical power for sale to Southwestern Public Service Company, its successors or assign</w:t>
      </w:r>
      <w:r w:rsidR="001934C4">
        <w:t>ee</w:t>
      </w:r>
      <w:r w:rsidRPr="00BF51FA">
        <w:t xml:space="preserve">s.  The facility consists of two advanced firing temperature, Mitsubishi 501F combustion turbine generators (CTGs), each provided with its own heat recovery steam generator (HRSG) including duct burners, a single condensing, reheat steam turbine generator (STG), and an </w:t>
      </w:r>
      <w:r w:rsidR="002716D6" w:rsidRPr="00BF51FA">
        <w:t>air-cooled</w:t>
      </w:r>
      <w:r w:rsidRPr="00BF51FA">
        <w:t xml:space="preserve"> condenser serving the STG.</w:t>
      </w:r>
      <w:r w:rsidR="0075202E" w:rsidRPr="00BF51FA">
        <w:t xml:space="preserve">  </w:t>
      </w:r>
    </w:p>
    <w:p w14:paraId="0398264E" w14:textId="77777777" w:rsidR="0075202E" w:rsidRPr="00BF51FA" w:rsidRDefault="00C03860" w:rsidP="00FA0F04">
      <w:pPr>
        <w:pStyle w:val="BodyText"/>
        <w:widowControl w:val="0"/>
        <w:ind w:firstLine="720"/>
        <w:jc w:val="both"/>
      </w:pPr>
      <w:r w:rsidRPr="00BF51FA">
        <w:t>The exhaust from each CTG is delivered to a HRSG that produces the steam to drive the STG. Supplemental firing, using duct burners, is employed during periods of peak demand to increase HRSG steam production.</w:t>
      </w:r>
    </w:p>
    <w:p w14:paraId="7F022C57" w14:textId="77777777" w:rsidR="00C03860" w:rsidRDefault="00C03860" w:rsidP="00FA0F04">
      <w:pPr>
        <w:pStyle w:val="BodyText"/>
        <w:widowControl w:val="0"/>
        <w:ind w:firstLine="720"/>
        <w:jc w:val="both"/>
      </w:pPr>
      <w:r w:rsidRPr="00BF51FA">
        <w:t>A surface condenser (heat exchanger) is used to condense the steam exhaust from the STG. Condensing the steam produces a slight vacuum, thus increasing the pressure differential that drives the steam turbine and increasing the overall efficiency of the power plant.  Dry cooling is utilized to condense the steam exhaust from the steam turbine.</w:t>
      </w:r>
    </w:p>
    <w:p w14:paraId="38A6B12F" w14:textId="2D4E9745" w:rsidR="00901E74" w:rsidRDefault="00901E74" w:rsidP="00901E74">
      <w:pPr>
        <w:pStyle w:val="BodyText"/>
        <w:widowControl w:val="0"/>
        <w:ind w:firstLine="720"/>
        <w:jc w:val="both"/>
      </w:pPr>
      <w:r>
        <w:t xml:space="preserve">Several small emission sources are used at Hobbs, including 3 inlet chillers, 3 auxiliary cooling towers, 3 natural gas fuel heaters, a firewater pump, a standby generator and a number of storage tanks.  The inlet air chilling system consists of 3 crossflow cooling towers that serve to enhance the overall output of the plant by lowering the temperature of the air entering the CTGs </w:t>
      </w:r>
      <w:r>
        <w:lastRenderedPageBreak/>
        <w:t>during periods of high ambient temperature (</w:t>
      </w:r>
      <w:r w:rsidR="00AD6D7F">
        <w:t xml:space="preserve">May </w:t>
      </w:r>
      <w:r>
        <w:t xml:space="preserve">through </w:t>
      </w:r>
      <w:r w:rsidR="00AD6D7F">
        <w:t>November</w:t>
      </w:r>
      <w:r>
        <w:t xml:space="preserve">).  The auxiliary cooling towers consist of 3 crossflow closed-circuit wet cooling towers.  The natural gas fuel heaters are used to pretreat the natural gas before it is fed to the CTGs.  The firewater pump diesel engine is used to provide fire protection water for the plant and operates under </w:t>
      </w:r>
      <w:r w:rsidR="00CE09FF">
        <w:t>5</w:t>
      </w:r>
      <w:r>
        <w:t>00 hours per year.  The standby diesel generator operates under 500 hours per year and is used to provide the plant electrical requirements during complete black-out situations.  Both engines fire low sulfur diesel fuel only.</w:t>
      </w:r>
    </w:p>
    <w:p w14:paraId="5294F24A" w14:textId="6DE8215A" w:rsidR="00901E74" w:rsidRPr="00BF51FA" w:rsidRDefault="00901E74" w:rsidP="00901E74">
      <w:pPr>
        <w:pStyle w:val="BodyText"/>
        <w:widowControl w:val="0"/>
        <w:ind w:firstLine="720"/>
        <w:jc w:val="both"/>
      </w:pPr>
      <w:r>
        <w:t>Storage tanks at the site include two diesel tanks for the firewater pump diesel engine and the standby generator diesel engine, two additional diesel storage tanks, one gasoline storage tank, an aqueous ammonia storage tank for the SCR NOx emissions control unit, a caustic storage tank and an aqueous sulfuric acid storage tank for the cooling towers pH control, a neutralization tank that serves the wastewater facility, and several water storage tanks.</w:t>
      </w:r>
    </w:p>
    <w:p w14:paraId="116BF3AE" w14:textId="77777777" w:rsidR="00BF43B7" w:rsidRPr="00BF51FA" w:rsidRDefault="00BF43B7" w:rsidP="00FA0F04">
      <w:pPr>
        <w:widowControl w:val="0"/>
        <w:ind w:left="720"/>
        <w:jc w:val="both"/>
      </w:pPr>
    </w:p>
    <w:p w14:paraId="7570073D" w14:textId="77777777" w:rsidR="00BF43B7" w:rsidRPr="00BF51FA" w:rsidRDefault="00BF43B7" w:rsidP="00FA0F04">
      <w:pPr>
        <w:widowControl w:val="0"/>
        <w:numPr>
          <w:ilvl w:val="0"/>
          <w:numId w:val="1"/>
        </w:numPr>
        <w:jc w:val="both"/>
      </w:pPr>
      <w:r w:rsidRPr="00BF51FA">
        <w:rPr>
          <w:b/>
          <w:bCs/>
          <w:u w:val="single"/>
        </w:rPr>
        <w:t>Description of this Modification:</w:t>
      </w:r>
      <w:r w:rsidRPr="00BF51FA">
        <w:rPr>
          <w:b/>
          <w:bCs/>
        </w:rPr>
        <w:t xml:space="preserve">  </w:t>
      </w:r>
    </w:p>
    <w:p w14:paraId="5B001D38" w14:textId="77777777" w:rsidR="006C7419" w:rsidRDefault="006C7419" w:rsidP="00451D83">
      <w:pPr>
        <w:pStyle w:val="TextStyle"/>
        <w:contextualSpacing/>
        <w:rPr>
          <w:b/>
          <w:color w:val="auto"/>
          <w:sz w:val="24"/>
          <w:szCs w:val="24"/>
        </w:rPr>
      </w:pPr>
    </w:p>
    <w:p w14:paraId="7773E52D" w14:textId="033B9CE3" w:rsidR="003D2461" w:rsidRDefault="008C1124" w:rsidP="003D2461">
      <w:pPr>
        <w:pStyle w:val="TextStyle"/>
        <w:rPr>
          <w:color w:val="auto"/>
          <w:sz w:val="24"/>
          <w:szCs w:val="24"/>
        </w:rPr>
      </w:pPr>
      <w:r w:rsidRPr="008C1124">
        <w:rPr>
          <w:color w:val="auto"/>
          <w:sz w:val="24"/>
          <w:szCs w:val="24"/>
        </w:rPr>
        <w:t>This modification consists of removing the operating hours restriction for the turbines allowing them to run 8760 hours per year. This modification also increases emission limits for the turbines resulting from an upgrade to the turbines. This modification also redesignates the Total Suspended Particulates (TSP) limits as Particulate Matter (PM) limits due to the revision to 20.2.3 NMAC to repeal the TSP NMAAQS effective November 30, 2018.</w:t>
      </w:r>
    </w:p>
    <w:p w14:paraId="264786F6" w14:textId="77777777" w:rsidR="00DE1F50" w:rsidRDefault="00DE1F50" w:rsidP="00FA0F04">
      <w:pPr>
        <w:widowControl w:val="0"/>
        <w:ind w:left="720"/>
        <w:jc w:val="both"/>
      </w:pPr>
    </w:p>
    <w:p w14:paraId="760CDD88" w14:textId="77777777" w:rsidR="00DE1F50" w:rsidRDefault="00DE1F50" w:rsidP="00FA0F04">
      <w:pPr>
        <w:widowControl w:val="0"/>
        <w:ind w:left="720"/>
        <w:jc w:val="both"/>
      </w:pPr>
    </w:p>
    <w:p w14:paraId="3AC70C81" w14:textId="77777777" w:rsidR="00C53561" w:rsidRPr="00DB7CC8" w:rsidRDefault="00C53561" w:rsidP="00FA0F04">
      <w:pPr>
        <w:widowControl w:val="0"/>
        <w:numPr>
          <w:ilvl w:val="0"/>
          <w:numId w:val="1"/>
        </w:numPr>
        <w:jc w:val="both"/>
        <w:rPr>
          <w:b/>
          <w:u w:val="single"/>
        </w:rPr>
      </w:pPr>
      <w:r w:rsidRPr="00DB7CC8">
        <w:rPr>
          <w:b/>
          <w:u w:val="single"/>
        </w:rPr>
        <w:t>Source</w:t>
      </w:r>
      <w:r>
        <w:rPr>
          <w:b/>
          <w:u w:val="single"/>
        </w:rPr>
        <w:t xml:space="preserve"> Determination</w:t>
      </w:r>
      <w:r w:rsidRPr="00DB7CC8">
        <w:rPr>
          <w:b/>
          <w:u w:val="single"/>
        </w:rPr>
        <w:t xml:space="preserve">:  </w:t>
      </w:r>
    </w:p>
    <w:p w14:paraId="013782C4" w14:textId="77777777" w:rsidR="00C53561" w:rsidRPr="00195DC7" w:rsidRDefault="00C53561" w:rsidP="00FA0F04">
      <w:pPr>
        <w:widowControl w:val="0"/>
        <w:ind w:left="720"/>
        <w:jc w:val="both"/>
        <w:rPr>
          <w:rFonts w:eastAsia="MS Mincho"/>
        </w:rPr>
      </w:pPr>
      <w:r>
        <w:rPr>
          <w:rFonts w:eastAsia="MS Mincho"/>
        </w:rPr>
        <w:t>1. T</w:t>
      </w:r>
      <w:r w:rsidRPr="00195DC7">
        <w:rPr>
          <w:rFonts w:eastAsia="MS Mincho"/>
        </w:rPr>
        <w:t>he emission sources evaluated</w:t>
      </w:r>
      <w:r>
        <w:rPr>
          <w:rFonts w:eastAsia="MS Mincho"/>
        </w:rPr>
        <w:t xml:space="preserve"> </w:t>
      </w:r>
      <w:r w:rsidRPr="00FD264E">
        <w:rPr>
          <w:rFonts w:eastAsia="MS Mincho"/>
        </w:rPr>
        <w:t xml:space="preserve">include </w:t>
      </w:r>
      <w:r w:rsidR="00FD264E" w:rsidRPr="00FD264E">
        <w:rPr>
          <w:rFonts w:eastAsia="MS Mincho"/>
        </w:rPr>
        <w:t>the entire power plant</w:t>
      </w:r>
      <w:r w:rsidRPr="00195DC7">
        <w:rPr>
          <w:rFonts w:eastAsia="MS Mincho"/>
        </w:rPr>
        <w:t>.</w:t>
      </w:r>
    </w:p>
    <w:p w14:paraId="49A03AC5" w14:textId="77777777" w:rsidR="00C53561" w:rsidRDefault="00C53561" w:rsidP="00FA0F04">
      <w:pPr>
        <w:widowControl w:val="0"/>
        <w:ind w:left="720"/>
        <w:jc w:val="both"/>
        <w:rPr>
          <w:rFonts w:eastAsia="MS Mincho"/>
        </w:rPr>
      </w:pPr>
    </w:p>
    <w:p w14:paraId="22FB7FCC" w14:textId="77777777" w:rsidR="00C53561" w:rsidRPr="00195DC7" w:rsidRDefault="00C53561" w:rsidP="00FA0F04">
      <w:pPr>
        <w:widowControl w:val="0"/>
        <w:ind w:left="720"/>
        <w:jc w:val="both"/>
        <w:rPr>
          <w:color w:val="FF0000"/>
        </w:rPr>
      </w:pPr>
      <w:r>
        <w:rPr>
          <w:rFonts w:eastAsia="MS Mincho"/>
        </w:rPr>
        <w:t xml:space="preserve">2. </w:t>
      </w:r>
      <w:r w:rsidRPr="00195DC7">
        <w:rPr>
          <w:rFonts w:eastAsia="MS Mincho"/>
        </w:rPr>
        <w:t xml:space="preserve">Single Source </w:t>
      </w:r>
      <w:r>
        <w:rPr>
          <w:rFonts w:eastAsia="MS Mincho"/>
        </w:rPr>
        <w:t>A</w:t>
      </w:r>
      <w:r w:rsidR="00FD264E">
        <w:rPr>
          <w:rFonts w:eastAsia="MS Mincho"/>
        </w:rPr>
        <w:t>nalysis:</w:t>
      </w:r>
    </w:p>
    <w:p w14:paraId="25626717" w14:textId="77777777" w:rsidR="00C53561" w:rsidRPr="00FD264E" w:rsidRDefault="00C53561" w:rsidP="00FA0F04">
      <w:pPr>
        <w:widowControl w:val="0"/>
        <w:numPr>
          <w:ilvl w:val="1"/>
          <w:numId w:val="1"/>
        </w:numPr>
        <w:ind w:firstLine="0"/>
        <w:jc w:val="both"/>
      </w:pPr>
      <w:r w:rsidRPr="00FD264E">
        <w:rPr>
          <w:u w:val="words"/>
        </w:rPr>
        <w:t>SIC Code</w:t>
      </w:r>
      <w:r w:rsidRPr="00FD264E">
        <w:rPr>
          <w:u w:val="single"/>
        </w:rPr>
        <w:t>:</w:t>
      </w:r>
      <w:r w:rsidRPr="00FD264E">
        <w:t xml:space="preserve"> </w:t>
      </w:r>
      <w:r w:rsidRPr="00FD264E">
        <w:rPr>
          <w:rFonts w:eastAsia="MS Mincho"/>
        </w:rPr>
        <w:t xml:space="preserve">Do the facilities belong to the same industrial grouping (i.e., same two-digit SIC code grouping, or support activity)? </w:t>
      </w:r>
      <w:r w:rsidR="00FD264E">
        <w:rPr>
          <w:rFonts w:eastAsia="MS Mincho"/>
        </w:rPr>
        <w:t>Yes</w:t>
      </w:r>
    </w:p>
    <w:p w14:paraId="4B1996C0" w14:textId="77777777" w:rsidR="00C53561" w:rsidRPr="00FD264E" w:rsidRDefault="00C53561" w:rsidP="00FA0F04">
      <w:pPr>
        <w:widowControl w:val="0"/>
        <w:numPr>
          <w:ilvl w:val="1"/>
          <w:numId w:val="1"/>
        </w:numPr>
        <w:ind w:firstLine="0"/>
        <w:jc w:val="both"/>
      </w:pPr>
      <w:r w:rsidRPr="00FD264E">
        <w:rPr>
          <w:u w:val="words"/>
        </w:rPr>
        <w:t xml:space="preserve">Common Ownership or Control: </w:t>
      </w:r>
      <w:r w:rsidRPr="00FD264E">
        <w:t>A</w:t>
      </w:r>
      <w:r w:rsidRPr="00FD264E">
        <w:rPr>
          <w:rFonts w:eastAsia="MS Mincho"/>
        </w:rPr>
        <w:t>re the facilities under common ownership or control?</w:t>
      </w:r>
      <w:r w:rsidRPr="00FD264E">
        <w:t xml:space="preserve"> </w:t>
      </w:r>
      <w:r w:rsidR="00FD264E">
        <w:rPr>
          <w:rFonts w:eastAsia="MS Mincho"/>
        </w:rPr>
        <w:t>Yes</w:t>
      </w:r>
    </w:p>
    <w:p w14:paraId="2FB922D6" w14:textId="77777777" w:rsidR="00C53561" w:rsidRPr="00FD264E" w:rsidRDefault="00C53561" w:rsidP="00FA0F04">
      <w:pPr>
        <w:widowControl w:val="0"/>
        <w:numPr>
          <w:ilvl w:val="1"/>
          <w:numId w:val="1"/>
        </w:numPr>
        <w:ind w:firstLine="0"/>
        <w:jc w:val="both"/>
      </w:pPr>
      <w:r w:rsidRPr="00FD264E">
        <w:rPr>
          <w:u w:val="words"/>
        </w:rPr>
        <w:t>Contiguous or Adjacent:</w:t>
      </w:r>
      <w:r w:rsidRPr="00FD264E">
        <w:t xml:space="preserve">  </w:t>
      </w:r>
      <w:r w:rsidRPr="00FD264E">
        <w:rPr>
          <w:rFonts w:eastAsia="MS Mincho"/>
        </w:rPr>
        <w:t xml:space="preserve">Are the facilities located on one or more contiguous or adjacent properties? </w:t>
      </w:r>
      <w:r w:rsidR="00FD264E">
        <w:rPr>
          <w:rFonts w:eastAsia="MS Mincho"/>
        </w:rPr>
        <w:t>Yes</w:t>
      </w:r>
    </w:p>
    <w:p w14:paraId="6C7A3279" w14:textId="77777777" w:rsidR="00C53561" w:rsidRDefault="00C53561" w:rsidP="00FA0F04">
      <w:pPr>
        <w:widowControl w:val="0"/>
        <w:tabs>
          <w:tab w:val="num" w:pos="1080"/>
        </w:tabs>
        <w:ind w:left="720"/>
        <w:jc w:val="both"/>
      </w:pPr>
    </w:p>
    <w:p w14:paraId="26EF37C8" w14:textId="77777777" w:rsidR="00C53561" w:rsidRPr="00195DC7" w:rsidRDefault="00C53561" w:rsidP="00FA0F04">
      <w:pPr>
        <w:widowControl w:val="0"/>
        <w:tabs>
          <w:tab w:val="num" w:pos="1080"/>
        </w:tabs>
        <w:ind w:left="720"/>
        <w:jc w:val="both"/>
        <w:rPr>
          <w:rFonts w:eastAsia="MS Mincho"/>
          <w:b/>
          <w:color w:val="FF0000"/>
        </w:rPr>
      </w:pPr>
      <w:r>
        <w:t xml:space="preserve">3. Is the source, as described in the application, the entire </w:t>
      </w:r>
      <w:r w:rsidRPr="00E03862">
        <w:t>source</w:t>
      </w:r>
      <w:r>
        <w:t xml:space="preserve"> for 20.2.70</w:t>
      </w:r>
      <w:r w:rsidR="00AA3BDF">
        <w:t xml:space="preserve">, </w:t>
      </w:r>
      <w:r w:rsidR="00AA3BDF" w:rsidRPr="009A7C9F">
        <w:t>20.2.72</w:t>
      </w:r>
      <w:r>
        <w:t xml:space="preserve">, </w:t>
      </w:r>
      <w:r w:rsidRPr="009A7C9F">
        <w:t>20.2.7</w:t>
      </w:r>
      <w:r w:rsidR="00AA3BDF">
        <w:t>3</w:t>
      </w:r>
      <w:r w:rsidRPr="009A7C9F">
        <w:t>, or 20.2.74 NMAC applicability purposes</w:t>
      </w:r>
      <w:r>
        <w:t xml:space="preserve">?  </w:t>
      </w:r>
      <w:r w:rsidR="00FD264E">
        <w:rPr>
          <w:rFonts w:eastAsia="MS Mincho"/>
        </w:rPr>
        <w:t>Yes</w:t>
      </w:r>
    </w:p>
    <w:p w14:paraId="423BB5D1" w14:textId="77777777" w:rsidR="00C53561" w:rsidRPr="0081370B" w:rsidRDefault="00C53561" w:rsidP="00FA0F04">
      <w:pPr>
        <w:widowControl w:val="0"/>
        <w:ind w:left="720"/>
        <w:jc w:val="both"/>
      </w:pPr>
    </w:p>
    <w:p w14:paraId="07BAFBAE" w14:textId="77777777" w:rsidR="00C338CD" w:rsidRPr="00FD264E" w:rsidRDefault="004A2A73" w:rsidP="00FA0F04">
      <w:pPr>
        <w:widowControl w:val="0"/>
        <w:numPr>
          <w:ilvl w:val="0"/>
          <w:numId w:val="1"/>
        </w:numPr>
        <w:jc w:val="both"/>
        <w:rPr>
          <w:u w:val="single"/>
        </w:rPr>
      </w:pPr>
      <w:r>
        <w:rPr>
          <w:b/>
          <w:bCs/>
          <w:u w:val="single"/>
        </w:rPr>
        <w:t>PSD Applicability:</w:t>
      </w:r>
      <w:r w:rsidR="004627BB">
        <w:rPr>
          <w:b/>
          <w:bCs/>
          <w:u w:val="single"/>
        </w:rPr>
        <w:t xml:space="preserve"> </w:t>
      </w:r>
    </w:p>
    <w:p w14:paraId="2B55F324" w14:textId="77777777" w:rsidR="004A2A73" w:rsidRDefault="004A2A73" w:rsidP="00FA0F04">
      <w:pPr>
        <w:widowControl w:val="0"/>
        <w:ind w:left="720"/>
        <w:jc w:val="both"/>
      </w:pPr>
    </w:p>
    <w:p w14:paraId="1B5D7702" w14:textId="4C896D5B" w:rsidR="00C53561" w:rsidRDefault="00C53561" w:rsidP="00F45075">
      <w:pPr>
        <w:widowControl w:val="0"/>
        <w:numPr>
          <w:ilvl w:val="0"/>
          <w:numId w:val="2"/>
        </w:numPr>
        <w:jc w:val="both"/>
        <w:rPr>
          <w:b/>
          <w:bCs/>
          <w:color w:val="FF0000"/>
        </w:rPr>
      </w:pPr>
      <w:r>
        <w:t xml:space="preserve">The source, as determined in 3.0 above, is </w:t>
      </w:r>
      <w:r w:rsidR="00FD264E" w:rsidRPr="000A7955">
        <w:rPr>
          <w:bCs/>
        </w:rPr>
        <w:t>an existing PSD Major Source</w:t>
      </w:r>
      <w:r w:rsidR="006C7419" w:rsidRPr="000A7955">
        <w:rPr>
          <w:bCs/>
        </w:rPr>
        <w:t xml:space="preserve"> that has had a major modification requiring a BACT analysis</w:t>
      </w:r>
      <w:r w:rsidR="00FD264E" w:rsidRPr="000A7955">
        <w:rPr>
          <w:bCs/>
        </w:rPr>
        <w:t>.</w:t>
      </w:r>
    </w:p>
    <w:p w14:paraId="6BAB53C7" w14:textId="68EAD750" w:rsidR="001000E5" w:rsidRPr="001000E5" w:rsidRDefault="00AF0F4F" w:rsidP="00F45075">
      <w:pPr>
        <w:widowControl w:val="0"/>
        <w:numPr>
          <w:ilvl w:val="0"/>
          <w:numId w:val="2"/>
        </w:numPr>
        <w:jc w:val="both"/>
      </w:pPr>
      <w:r>
        <w:t>The project emissions for this modification are</w:t>
      </w:r>
      <w:r w:rsidR="003B0DF4">
        <w:t xml:space="preserve"> </w:t>
      </w:r>
      <w:r w:rsidR="003B0DF4" w:rsidRPr="000A7955">
        <w:t>significant</w:t>
      </w:r>
      <w:r w:rsidR="00FD264E" w:rsidRPr="000A7955">
        <w:rPr>
          <w:bCs/>
        </w:rPr>
        <w:t xml:space="preserve">. </w:t>
      </w:r>
      <w:r w:rsidR="00880B0E" w:rsidRPr="000A7955">
        <w:rPr>
          <w:bCs/>
        </w:rPr>
        <w:t xml:space="preserve">  </w:t>
      </w:r>
    </w:p>
    <w:p w14:paraId="05524DDE" w14:textId="696B83FB" w:rsidR="00AF0F4F" w:rsidRPr="008C1124" w:rsidRDefault="00AF0F4F" w:rsidP="00F45075">
      <w:pPr>
        <w:widowControl w:val="0"/>
        <w:numPr>
          <w:ilvl w:val="0"/>
          <w:numId w:val="2"/>
        </w:numPr>
        <w:jc w:val="both"/>
      </w:pPr>
      <w:r w:rsidRPr="00024A4D">
        <w:t>Netting</w:t>
      </w:r>
      <w:r w:rsidR="005E6A96">
        <w:t xml:space="preserve"> was not done for this action as there were no contemporaneous decreases</w:t>
      </w:r>
      <w:r w:rsidR="00A42ED1" w:rsidRPr="000A7955">
        <w:rPr>
          <w:bCs/>
        </w:rPr>
        <w:t>.</w:t>
      </w:r>
    </w:p>
    <w:p w14:paraId="52A7B56C" w14:textId="77777777" w:rsidR="008C1124" w:rsidRDefault="008C1124" w:rsidP="008C1124">
      <w:pPr>
        <w:widowControl w:val="0"/>
        <w:numPr>
          <w:ilvl w:val="0"/>
          <w:numId w:val="2"/>
        </w:numPr>
        <w:jc w:val="both"/>
      </w:pPr>
      <w:r>
        <w:t xml:space="preserve">The original application based the proposed project annual emissions on increases due to the turbine upgrade and increase in operating hours from 8400 hours per year to 8760 </w:t>
      </w:r>
      <w:r>
        <w:lastRenderedPageBreak/>
        <w:t>hours per year.  That PSD applicability analysis showed that the PSD Significant Emission Rates (SER) were exceeded only for particulate emissions (TSP/PM10/PM2.5) and CO2e. However, the 8400 operating hours limit per year was included in permit PSD3449-M2 issued 9-5-2014 to maintain emissions below the PSD Significant Emission Rates (SER) for the project authorized under PSD3449-M2.  Relaxing the operating hours restriction therefore triggered a retroactive PSD applicability determination under 20.2.74.300.D NMAC, which states:        “If a source or modification becomes a major stationary source or major modification solely due to a relaxation in any enforceable limitation (which limitation was established after August 7, 1980), on the capacity of the source or modification otherwise to emit a pollutant, such as a restriction on hours of operation, then this part shall apply to the source or modification as though construction had not yet commenced.”</w:t>
      </w:r>
    </w:p>
    <w:p w14:paraId="5CB3355C" w14:textId="2347E5B4" w:rsidR="008C1124" w:rsidRPr="000A7955" w:rsidRDefault="008C1124" w:rsidP="008C1124">
      <w:pPr>
        <w:widowControl w:val="0"/>
        <w:numPr>
          <w:ilvl w:val="0"/>
          <w:numId w:val="2"/>
        </w:numPr>
        <w:jc w:val="both"/>
      </w:pPr>
      <w:r>
        <w:t>The retroactive PSD applicability assumed that the 2014 project did not include the operating hours restriction.  Without that restriction, the 2014 project would have triggered a BACT review for NOx and SO2 as well as for particulate emissions (TSP/PM10/PM2.5) and CO2e.  The applicant submitted a revised BACT that reassessed the BACT for NOX, SO2, particulate emissions (TSP/PM10/PM2.5), and CO2e.  The BACT analysis is only for the turbines (HOBB-1 and HOBB-2) and duct burners (DB-1 and DB-2) because these are the only units included in both those projects.</w:t>
      </w:r>
      <w:r>
        <w:t xml:space="preserve"> The BACT review concluded that the existing BACT still represents BACT for these units.</w:t>
      </w:r>
    </w:p>
    <w:p w14:paraId="3B3C38DA" w14:textId="2E24D1A4" w:rsidR="000A6047" w:rsidRDefault="00186DC8" w:rsidP="00A04A1E">
      <w:pPr>
        <w:autoSpaceDE w:val="0"/>
        <w:autoSpaceDN w:val="0"/>
        <w:adjustRightInd w:val="0"/>
      </w:pPr>
      <w:r>
        <w:t xml:space="preserve">  </w:t>
      </w:r>
      <w:r w:rsidR="000A6047">
        <w:t xml:space="preserve">   </w:t>
      </w:r>
    </w:p>
    <w:p w14:paraId="105DCA9B" w14:textId="77777777" w:rsidR="004A2A73" w:rsidRPr="004A2A73" w:rsidRDefault="004A2A73" w:rsidP="00FA0F04">
      <w:pPr>
        <w:widowControl w:val="0"/>
        <w:jc w:val="both"/>
        <w:rPr>
          <w:u w:val="single"/>
        </w:rPr>
      </w:pPr>
    </w:p>
    <w:p w14:paraId="793253C1" w14:textId="77777777" w:rsidR="00BF43B7" w:rsidRPr="00936204" w:rsidRDefault="00721D0B" w:rsidP="00FA0F04">
      <w:pPr>
        <w:widowControl w:val="0"/>
        <w:numPr>
          <w:ilvl w:val="0"/>
          <w:numId w:val="1"/>
        </w:numPr>
        <w:jc w:val="both"/>
        <w:rPr>
          <w:u w:val="single"/>
        </w:rPr>
      </w:pPr>
      <w:r w:rsidRPr="00936204">
        <w:rPr>
          <w:b/>
          <w:bCs/>
          <w:u w:val="single"/>
        </w:rPr>
        <w:t>History (In descending chronological order, showing NSR and TV):</w:t>
      </w:r>
      <w:r w:rsidR="00BF43B7" w:rsidRPr="00936204">
        <w:rPr>
          <w:b/>
          <w:bCs/>
        </w:rPr>
        <w:t xml:space="preserve">  </w:t>
      </w:r>
      <w:r w:rsidR="00EA3C2D" w:rsidRPr="00936204">
        <w:t>*The asterisk denotes the current active NSR and Title V permits that have not been superseded.</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990"/>
        <w:gridCol w:w="1553"/>
        <w:gridCol w:w="5940"/>
      </w:tblGrid>
      <w:tr w:rsidR="00E07FAC" w:rsidRPr="00237225" w14:paraId="47A35812" w14:textId="77777777" w:rsidTr="00CB52BC">
        <w:trPr>
          <w:cantSplit/>
          <w:tblHeader/>
        </w:trPr>
        <w:tc>
          <w:tcPr>
            <w:tcW w:w="1417" w:type="dxa"/>
            <w:shd w:val="clear" w:color="auto" w:fill="F3F3F3"/>
            <w:vAlign w:val="center"/>
          </w:tcPr>
          <w:p w14:paraId="1AC3FCD7" w14:textId="77777777" w:rsidR="00E07FAC" w:rsidRPr="00237225" w:rsidRDefault="00E07FAC" w:rsidP="00D8394C">
            <w:pPr>
              <w:rPr>
                <w:b/>
                <w:bCs/>
              </w:rPr>
            </w:pPr>
            <w:r w:rsidRPr="00237225">
              <w:rPr>
                <w:b/>
                <w:bCs/>
              </w:rPr>
              <w:t>Permit Number</w:t>
            </w:r>
          </w:p>
        </w:tc>
        <w:tc>
          <w:tcPr>
            <w:tcW w:w="990" w:type="dxa"/>
            <w:shd w:val="clear" w:color="auto" w:fill="F3F3F3"/>
            <w:vAlign w:val="center"/>
          </w:tcPr>
          <w:p w14:paraId="6BC782F8" w14:textId="77777777" w:rsidR="00E07FAC" w:rsidRPr="00237225" w:rsidRDefault="00E07FAC" w:rsidP="00D8394C">
            <w:pPr>
              <w:rPr>
                <w:b/>
                <w:bCs/>
              </w:rPr>
            </w:pPr>
            <w:r w:rsidRPr="00237225">
              <w:rPr>
                <w:b/>
                <w:bCs/>
              </w:rPr>
              <w:t>Issue Date</w:t>
            </w:r>
          </w:p>
        </w:tc>
        <w:tc>
          <w:tcPr>
            <w:tcW w:w="1553" w:type="dxa"/>
            <w:shd w:val="clear" w:color="auto" w:fill="F3F3F3"/>
            <w:vAlign w:val="center"/>
          </w:tcPr>
          <w:p w14:paraId="5FF84D24" w14:textId="77777777" w:rsidR="00E07FAC" w:rsidRPr="00237225" w:rsidRDefault="00E07FAC" w:rsidP="00D8394C">
            <w:pPr>
              <w:rPr>
                <w:b/>
                <w:bCs/>
              </w:rPr>
            </w:pPr>
            <w:r w:rsidRPr="00237225">
              <w:rPr>
                <w:b/>
                <w:bCs/>
              </w:rPr>
              <w:t>Action Type</w:t>
            </w:r>
          </w:p>
        </w:tc>
        <w:tc>
          <w:tcPr>
            <w:tcW w:w="5940" w:type="dxa"/>
            <w:shd w:val="clear" w:color="auto" w:fill="F3F3F3"/>
            <w:vAlign w:val="center"/>
          </w:tcPr>
          <w:p w14:paraId="53B45164" w14:textId="77777777" w:rsidR="00E07FAC" w:rsidRPr="00237225" w:rsidRDefault="00E07FAC" w:rsidP="00D8394C">
            <w:pPr>
              <w:rPr>
                <w:b/>
                <w:bCs/>
              </w:rPr>
            </w:pPr>
            <w:r w:rsidRPr="00237225">
              <w:rPr>
                <w:b/>
                <w:bCs/>
              </w:rPr>
              <w:t>Description of Action (Changes)</w:t>
            </w:r>
          </w:p>
        </w:tc>
      </w:tr>
      <w:tr w:rsidR="008C1124" w:rsidRPr="00237225" w14:paraId="28E461D2" w14:textId="77777777" w:rsidTr="00CB52BC">
        <w:trPr>
          <w:cantSplit/>
        </w:trPr>
        <w:tc>
          <w:tcPr>
            <w:tcW w:w="1417" w:type="dxa"/>
          </w:tcPr>
          <w:p w14:paraId="18791453" w14:textId="259700BA" w:rsidR="008C1124" w:rsidRDefault="008C1124" w:rsidP="00283C68">
            <w:pPr>
              <w:pStyle w:val="BodyText"/>
              <w:rPr>
                <w:sz w:val="22"/>
                <w:szCs w:val="22"/>
              </w:rPr>
            </w:pPr>
            <w:r>
              <w:rPr>
                <w:sz w:val="22"/>
                <w:szCs w:val="22"/>
              </w:rPr>
              <w:t>PSD3449M4</w:t>
            </w:r>
          </w:p>
        </w:tc>
        <w:tc>
          <w:tcPr>
            <w:tcW w:w="990" w:type="dxa"/>
          </w:tcPr>
          <w:p w14:paraId="780D709E" w14:textId="147B03F9" w:rsidR="008C1124" w:rsidRDefault="008C1124" w:rsidP="00283C68">
            <w:r>
              <w:t>Current action</w:t>
            </w:r>
          </w:p>
        </w:tc>
        <w:tc>
          <w:tcPr>
            <w:tcW w:w="1553" w:type="dxa"/>
          </w:tcPr>
          <w:p w14:paraId="36A64DA4" w14:textId="245B6958" w:rsidR="008C1124" w:rsidRPr="00A04A1E" w:rsidRDefault="008C1124" w:rsidP="00283C68">
            <w:pPr>
              <w:rPr>
                <w:sz w:val="22"/>
                <w:szCs w:val="22"/>
              </w:rPr>
            </w:pPr>
            <w:r w:rsidRPr="00A04A1E">
              <w:rPr>
                <w:sz w:val="22"/>
                <w:szCs w:val="22"/>
              </w:rPr>
              <w:t>PSD M</w:t>
            </w:r>
            <w:r>
              <w:rPr>
                <w:sz w:val="22"/>
                <w:szCs w:val="22"/>
              </w:rPr>
              <w:t>aj</w:t>
            </w:r>
            <w:r w:rsidRPr="00A04A1E">
              <w:rPr>
                <w:sz w:val="22"/>
                <w:szCs w:val="22"/>
              </w:rPr>
              <w:t>or Modification</w:t>
            </w:r>
          </w:p>
        </w:tc>
        <w:tc>
          <w:tcPr>
            <w:tcW w:w="5940" w:type="dxa"/>
          </w:tcPr>
          <w:p w14:paraId="6A0B4E85" w14:textId="77777777" w:rsidR="008C1124" w:rsidRDefault="008C1124" w:rsidP="00FC757B">
            <w:r w:rsidRPr="00092922">
              <w:t>This modification consists of</w:t>
            </w:r>
            <w:r>
              <w:t xml:space="preserve"> removing the operating hours restriction for the turbines allowing them to run 8760 hours per year. This modification also increases emission limits for the turbines resulting from an upgrade to the turbines. This modification also redesignates the Total Suspended Particulates (TSP) limits as Particulate Matter (PM) limits due to </w:t>
            </w:r>
            <w:r w:rsidRPr="00530D70">
              <w:t>the revision to 20.2.3 NMAC to repeal the TSP NMAAQS effective November 30, 2018</w:t>
            </w:r>
            <w:r>
              <w:t>.</w:t>
            </w:r>
          </w:p>
          <w:p w14:paraId="24FD6A51" w14:textId="398185A6" w:rsidR="008C1124" w:rsidRDefault="008C1124" w:rsidP="00FC757B">
            <w:r>
              <w:t>Relaxing the operating hours restriction triggered a retroactive PSD applicability review, so this action included a review of the BACT for NOx, SO2, TSP, PM10, PM2.5, and CO2e.  The review concluded that the existing BACT is still BACT for these units and pollutants</w:t>
            </w:r>
          </w:p>
        </w:tc>
      </w:tr>
      <w:tr w:rsidR="00283C68" w:rsidRPr="00237225" w14:paraId="20AF21FF" w14:textId="77777777" w:rsidTr="00CB52BC">
        <w:trPr>
          <w:cantSplit/>
        </w:trPr>
        <w:tc>
          <w:tcPr>
            <w:tcW w:w="1417" w:type="dxa"/>
          </w:tcPr>
          <w:p w14:paraId="02DCDFAE" w14:textId="79B71A53" w:rsidR="00283C68" w:rsidRDefault="00283C68" w:rsidP="00283C68">
            <w:pPr>
              <w:pStyle w:val="BodyText"/>
              <w:rPr>
                <w:sz w:val="22"/>
                <w:szCs w:val="22"/>
              </w:rPr>
            </w:pPr>
            <w:r>
              <w:rPr>
                <w:sz w:val="22"/>
                <w:szCs w:val="22"/>
              </w:rPr>
              <w:lastRenderedPageBreak/>
              <w:t>PSD3449M4</w:t>
            </w:r>
          </w:p>
        </w:tc>
        <w:tc>
          <w:tcPr>
            <w:tcW w:w="990" w:type="dxa"/>
          </w:tcPr>
          <w:p w14:paraId="6E7DCEB4" w14:textId="7628D851" w:rsidR="00283C68" w:rsidRDefault="008C1124" w:rsidP="00283C68">
            <w:r>
              <w:t>July 11, 2016</w:t>
            </w:r>
          </w:p>
        </w:tc>
        <w:tc>
          <w:tcPr>
            <w:tcW w:w="1553" w:type="dxa"/>
          </w:tcPr>
          <w:p w14:paraId="6B6FCDF2" w14:textId="00ABAF40" w:rsidR="00283C68" w:rsidRPr="00A04A1E" w:rsidRDefault="00283C68" w:rsidP="00283C68">
            <w:pPr>
              <w:rPr>
                <w:sz w:val="22"/>
                <w:szCs w:val="22"/>
              </w:rPr>
            </w:pPr>
            <w:r w:rsidRPr="00A04A1E">
              <w:rPr>
                <w:sz w:val="22"/>
                <w:szCs w:val="22"/>
              </w:rPr>
              <w:t>PSD Minor Modification</w:t>
            </w:r>
          </w:p>
        </w:tc>
        <w:tc>
          <w:tcPr>
            <w:tcW w:w="5940" w:type="dxa"/>
          </w:tcPr>
          <w:p w14:paraId="3B3CA5BD" w14:textId="378B5516" w:rsidR="00283C68" w:rsidRDefault="00283C68" w:rsidP="00FC757B">
            <w:r>
              <w:t xml:space="preserve">Increase lb/hr limits for CO </w:t>
            </w:r>
            <w:r w:rsidR="000A7955">
              <w:t xml:space="preserve">and VOC </w:t>
            </w:r>
            <w:r>
              <w:t xml:space="preserve">for units HOBB-1 and HOBB-2.   </w:t>
            </w:r>
            <w:r w:rsidR="000A7955">
              <w:t>The VOC ppmvd BACT limit was increased because the value initially permitted did not match the equipment capabilities. The</w:t>
            </w:r>
            <w:r>
              <w:t xml:space="preserve"> change to </w:t>
            </w:r>
            <w:r w:rsidR="000A7955">
              <w:t xml:space="preserve">the VOC ppmvd </w:t>
            </w:r>
            <w:r>
              <w:t>BACT limit</w:t>
            </w:r>
            <w:r w:rsidR="002D2CF7">
              <w:t xml:space="preserve"> </w:t>
            </w:r>
            <w:r w:rsidR="000A7955">
              <w:t>did not r</w:t>
            </w:r>
            <w:r w:rsidR="00FC757B">
              <w:t>esult</w:t>
            </w:r>
            <w:r w:rsidR="000A7955">
              <w:t xml:space="preserve"> </w:t>
            </w:r>
            <w:r w:rsidR="00FC757B">
              <w:t xml:space="preserve">in </w:t>
            </w:r>
            <w:r w:rsidR="000A7955">
              <w:t xml:space="preserve">an increase in emissions, and the changes to lb/hr emissions of CO and VOCs did not increase the </w:t>
            </w:r>
            <w:r w:rsidR="002D2CF7">
              <w:t xml:space="preserve">ton per year emissions, therefore </w:t>
            </w:r>
            <w:r w:rsidR="00FC757B">
              <w:t xml:space="preserve">this was </w:t>
            </w:r>
            <w:r w:rsidR="002D2CF7">
              <w:t>not a PSD permitting action</w:t>
            </w:r>
            <w:r>
              <w:t>.</w:t>
            </w:r>
            <w:r w:rsidR="00FC757B">
              <w:t xml:space="preserve">  See the </w:t>
            </w:r>
            <w:r w:rsidR="00B31179">
              <w:t xml:space="preserve">VOC SSM </w:t>
            </w:r>
            <w:r w:rsidR="00FC757B">
              <w:t xml:space="preserve">secondary BACT determination </w:t>
            </w:r>
            <w:r w:rsidR="00B31179">
              <w:t xml:space="preserve">in the </w:t>
            </w:r>
            <w:r w:rsidR="00FC757B">
              <w:t xml:space="preserve">Statement of Basis for </w:t>
            </w:r>
            <w:r w:rsidR="00B31179">
              <w:t xml:space="preserve">this </w:t>
            </w:r>
            <w:r w:rsidR="00FC757B">
              <w:t xml:space="preserve">permitting action </w:t>
            </w:r>
            <w:r w:rsidR="00B31179">
              <w:t>(</w:t>
            </w:r>
            <w:r w:rsidR="00FC757B">
              <w:t>PSD3449M4</w:t>
            </w:r>
            <w:r w:rsidR="00B31179">
              <w:t>)</w:t>
            </w:r>
            <w:r w:rsidR="00FC757B">
              <w:t xml:space="preserve"> </w:t>
            </w:r>
            <w:r w:rsidR="00B31179">
              <w:t>for more details.</w:t>
            </w:r>
          </w:p>
        </w:tc>
      </w:tr>
      <w:tr w:rsidR="00A04A1E" w:rsidRPr="00237225" w14:paraId="1D404B0F" w14:textId="77777777" w:rsidTr="00CB52BC">
        <w:trPr>
          <w:cantSplit/>
        </w:trPr>
        <w:tc>
          <w:tcPr>
            <w:tcW w:w="1417" w:type="dxa"/>
          </w:tcPr>
          <w:p w14:paraId="556F3FA5" w14:textId="17A9D3B9" w:rsidR="00A04A1E" w:rsidRDefault="00A04A1E" w:rsidP="00D8394C">
            <w:pPr>
              <w:pStyle w:val="BodyText"/>
              <w:rPr>
                <w:sz w:val="22"/>
                <w:szCs w:val="22"/>
              </w:rPr>
            </w:pPr>
            <w:r>
              <w:rPr>
                <w:sz w:val="22"/>
                <w:szCs w:val="22"/>
              </w:rPr>
              <w:t>PSD3449M3</w:t>
            </w:r>
          </w:p>
        </w:tc>
        <w:tc>
          <w:tcPr>
            <w:tcW w:w="990" w:type="dxa"/>
          </w:tcPr>
          <w:p w14:paraId="27E96FF7" w14:textId="50DB7050" w:rsidR="00A04A1E" w:rsidRDefault="00283C68" w:rsidP="001A725D">
            <w:r>
              <w:t>10/8/15</w:t>
            </w:r>
          </w:p>
        </w:tc>
        <w:tc>
          <w:tcPr>
            <w:tcW w:w="1553" w:type="dxa"/>
          </w:tcPr>
          <w:p w14:paraId="41791419" w14:textId="6D486A7F" w:rsidR="00A04A1E" w:rsidRDefault="00A04A1E" w:rsidP="001A725D">
            <w:pPr>
              <w:rPr>
                <w:sz w:val="22"/>
                <w:szCs w:val="22"/>
              </w:rPr>
            </w:pPr>
            <w:r w:rsidRPr="00A04A1E">
              <w:rPr>
                <w:sz w:val="22"/>
                <w:szCs w:val="22"/>
              </w:rPr>
              <w:t>PSD Minor Modification</w:t>
            </w:r>
          </w:p>
        </w:tc>
        <w:tc>
          <w:tcPr>
            <w:tcW w:w="5940" w:type="dxa"/>
          </w:tcPr>
          <w:p w14:paraId="19127C28" w14:textId="36EF4713" w:rsidR="00DF0E61" w:rsidRDefault="00DF0E61" w:rsidP="00DF0E61">
            <w:r>
              <w:t xml:space="preserve">Increase NOx, CO, PM10 and PM2.5 from FP-1 and G-1, and increase TSP, PM10 and PM2.5 from AC-1, AC-2, AC-3, IC-1, IC-2, and IC-3.  </w:t>
            </w:r>
          </w:p>
          <w:p w14:paraId="5D04D3DA" w14:textId="662015B3" w:rsidR="00A04A1E" w:rsidRDefault="00CB52BC" w:rsidP="0068282E">
            <w:r>
              <w:t xml:space="preserve">Add </w:t>
            </w:r>
            <w:r w:rsidR="00DF0E61">
              <w:t>a new 500 gallon gasoline tank, a 500 gallon diesel tank, and a 100 gallon diesel tank, all of which are NSR exempt sources (&lt; 0.5 tpy VOCs).</w:t>
            </w:r>
            <w:r w:rsidR="0068282E">
              <w:t xml:space="preserve"> The facility is an existing PSD source but the project emissions are not significant because t</w:t>
            </w:r>
            <w:r w:rsidR="0068282E" w:rsidRPr="0068282E">
              <w:t>he changes in emission rates are not due to a change in the method of operations or a modification.</w:t>
            </w:r>
            <w:r w:rsidR="0068282E">
              <w:t xml:space="preserve"> Neither netting nor a BACT analysis are required.</w:t>
            </w:r>
          </w:p>
        </w:tc>
      </w:tr>
      <w:tr w:rsidR="001A725D" w:rsidRPr="00237225" w14:paraId="035C8151" w14:textId="77777777" w:rsidTr="00CB52BC">
        <w:trPr>
          <w:cantSplit/>
        </w:trPr>
        <w:tc>
          <w:tcPr>
            <w:tcW w:w="1417" w:type="dxa"/>
          </w:tcPr>
          <w:p w14:paraId="60769636" w14:textId="55079BBD" w:rsidR="001A725D" w:rsidRDefault="001A725D" w:rsidP="00D8394C">
            <w:pPr>
              <w:pStyle w:val="BodyText"/>
            </w:pPr>
            <w:r>
              <w:rPr>
                <w:sz w:val="22"/>
                <w:szCs w:val="22"/>
              </w:rPr>
              <w:t>PSD 3449M2</w:t>
            </w:r>
          </w:p>
        </w:tc>
        <w:tc>
          <w:tcPr>
            <w:tcW w:w="990" w:type="dxa"/>
          </w:tcPr>
          <w:p w14:paraId="406D7022" w14:textId="77777777" w:rsidR="001A725D" w:rsidRDefault="00746FA1" w:rsidP="001A725D">
            <w:r>
              <w:t>9/5/14</w:t>
            </w:r>
          </w:p>
        </w:tc>
        <w:tc>
          <w:tcPr>
            <w:tcW w:w="1553" w:type="dxa"/>
          </w:tcPr>
          <w:p w14:paraId="41738C03" w14:textId="77777777" w:rsidR="001A725D" w:rsidRDefault="00746FA1" w:rsidP="001A725D">
            <w:r>
              <w:rPr>
                <w:sz w:val="22"/>
                <w:szCs w:val="22"/>
              </w:rPr>
              <w:t xml:space="preserve">PSD Minor </w:t>
            </w:r>
            <w:r w:rsidR="001A725D">
              <w:rPr>
                <w:sz w:val="22"/>
                <w:szCs w:val="22"/>
              </w:rPr>
              <w:t>Modification</w:t>
            </w:r>
          </w:p>
        </w:tc>
        <w:tc>
          <w:tcPr>
            <w:tcW w:w="5940" w:type="dxa"/>
          </w:tcPr>
          <w:p w14:paraId="08CF29C2" w14:textId="77777777" w:rsidR="00E90A5E" w:rsidRDefault="00E90A5E" w:rsidP="00E90A5E">
            <w:r>
              <w:t>Modification of the two combustion turbines resulting in an approximate 6% increase in output power and a significant increase (&gt;75,000 tpy) in GHG emissions as CO2e.  The modification</w:t>
            </w:r>
            <w:r w:rsidR="00161704">
              <w:t xml:space="preserve"> (project)</w:t>
            </w:r>
            <w:r>
              <w:t xml:space="preserve"> did not</w:t>
            </w:r>
            <w:r w:rsidR="00161704">
              <w:t xml:space="preserve"> result in a PSD significant</w:t>
            </w:r>
            <w:r>
              <w:t xml:space="preserve"> emissions increase for any othe</w:t>
            </w:r>
            <w:r w:rsidR="00161704">
              <w:t xml:space="preserve">r pollutant other than </w:t>
            </w:r>
            <w:r>
              <w:t xml:space="preserve">GHGs.  </w:t>
            </w:r>
          </w:p>
          <w:p w14:paraId="0E81A2B7" w14:textId="77777777" w:rsidR="00E90A5E" w:rsidRDefault="00E90A5E" w:rsidP="00E90A5E"/>
          <w:p w14:paraId="1E4BF28A" w14:textId="77777777" w:rsidR="00E90A5E" w:rsidRDefault="00E90A5E" w:rsidP="00E90A5E">
            <w:r>
              <w:t xml:space="preserve">A CO2e BACT had been proposed in the draft permit for Units Hobb-1/DB-1 and Hobb-2/DB-2.  However, due to the June 23, 2014 U.S. Supreme Court ruling No. 12-1146, the GHG BACT was no longer required and so was removed from the final permit.  </w:t>
            </w:r>
          </w:p>
          <w:p w14:paraId="62A46A7A" w14:textId="77777777" w:rsidR="00E90A5E" w:rsidRDefault="00E90A5E" w:rsidP="00E90A5E"/>
          <w:p w14:paraId="5895BC0F" w14:textId="77777777" w:rsidR="001A725D" w:rsidRDefault="00E90A5E" w:rsidP="00942EB9">
            <w:r>
              <w:t xml:space="preserve">Also added were SSM mass limits for </w:t>
            </w:r>
            <w:r w:rsidR="00942EB9">
              <w:t xml:space="preserve">NOx, CO and VOCs </w:t>
            </w:r>
            <w:r>
              <w:t xml:space="preserve">that were erroneously omitted from previous permits and a VOC SSM BACT limit that should have been included in the previous PSD permitting action.  </w:t>
            </w:r>
          </w:p>
        </w:tc>
      </w:tr>
      <w:tr w:rsidR="001A725D" w:rsidRPr="00237225" w14:paraId="3BF9D186" w14:textId="77777777" w:rsidTr="00CB52BC">
        <w:trPr>
          <w:cantSplit/>
        </w:trPr>
        <w:tc>
          <w:tcPr>
            <w:tcW w:w="1417" w:type="dxa"/>
          </w:tcPr>
          <w:p w14:paraId="0ED9A931" w14:textId="77777777" w:rsidR="001A725D" w:rsidRDefault="001A725D" w:rsidP="00D8394C">
            <w:pPr>
              <w:pStyle w:val="BodyText"/>
            </w:pPr>
            <w:r>
              <w:rPr>
                <w:sz w:val="22"/>
                <w:szCs w:val="22"/>
              </w:rPr>
              <w:t>*P244M4</w:t>
            </w:r>
          </w:p>
        </w:tc>
        <w:tc>
          <w:tcPr>
            <w:tcW w:w="990" w:type="dxa"/>
          </w:tcPr>
          <w:p w14:paraId="4F3C6915" w14:textId="77777777" w:rsidR="001A725D" w:rsidRPr="001A12C7" w:rsidRDefault="001A725D" w:rsidP="00D8394C">
            <w:r>
              <w:rPr>
                <w:sz w:val="22"/>
                <w:szCs w:val="22"/>
              </w:rPr>
              <w:t>9/6/13</w:t>
            </w:r>
          </w:p>
        </w:tc>
        <w:tc>
          <w:tcPr>
            <w:tcW w:w="1553" w:type="dxa"/>
          </w:tcPr>
          <w:p w14:paraId="5B9831E1" w14:textId="77777777" w:rsidR="001A725D" w:rsidRDefault="001A725D" w:rsidP="00D8394C">
            <w:r>
              <w:rPr>
                <w:sz w:val="22"/>
                <w:szCs w:val="22"/>
              </w:rPr>
              <w:t>Administrative Revision</w:t>
            </w:r>
          </w:p>
        </w:tc>
        <w:tc>
          <w:tcPr>
            <w:tcW w:w="5940" w:type="dxa"/>
          </w:tcPr>
          <w:p w14:paraId="78BE6A1D" w14:textId="77777777" w:rsidR="001A725D" w:rsidRDefault="001A725D" w:rsidP="001A725D">
            <w:r>
              <w:t>Minor correction to Table 104 (Regulated Equipment)</w:t>
            </w:r>
          </w:p>
        </w:tc>
      </w:tr>
      <w:tr w:rsidR="001A725D" w:rsidRPr="00237225" w14:paraId="1D2EF045" w14:textId="77777777" w:rsidTr="00CB52BC">
        <w:trPr>
          <w:cantSplit/>
        </w:trPr>
        <w:tc>
          <w:tcPr>
            <w:tcW w:w="1417" w:type="dxa"/>
          </w:tcPr>
          <w:p w14:paraId="79E7C63C" w14:textId="6DC40A32" w:rsidR="001A725D" w:rsidRDefault="001A725D" w:rsidP="00D8394C">
            <w:pPr>
              <w:pStyle w:val="BodyText"/>
            </w:pPr>
            <w:r>
              <w:rPr>
                <w:sz w:val="22"/>
                <w:szCs w:val="22"/>
              </w:rPr>
              <w:t>P244M3</w:t>
            </w:r>
          </w:p>
        </w:tc>
        <w:tc>
          <w:tcPr>
            <w:tcW w:w="990" w:type="dxa"/>
          </w:tcPr>
          <w:p w14:paraId="4BACF3B7" w14:textId="77777777" w:rsidR="001A725D" w:rsidRPr="001A12C7" w:rsidRDefault="001A725D" w:rsidP="00D8394C">
            <w:r>
              <w:rPr>
                <w:sz w:val="22"/>
                <w:szCs w:val="22"/>
              </w:rPr>
              <w:t>2/5/13</w:t>
            </w:r>
          </w:p>
        </w:tc>
        <w:tc>
          <w:tcPr>
            <w:tcW w:w="1553" w:type="dxa"/>
          </w:tcPr>
          <w:p w14:paraId="450EA080" w14:textId="77777777" w:rsidR="001A725D" w:rsidRDefault="001A725D" w:rsidP="00D8394C">
            <w:r>
              <w:rPr>
                <w:sz w:val="22"/>
                <w:szCs w:val="22"/>
              </w:rPr>
              <w:t>Significant Modification</w:t>
            </w:r>
          </w:p>
        </w:tc>
        <w:tc>
          <w:tcPr>
            <w:tcW w:w="5940" w:type="dxa"/>
          </w:tcPr>
          <w:p w14:paraId="5D30335A" w14:textId="77777777" w:rsidR="001A725D" w:rsidRDefault="001A725D" w:rsidP="00D8394C">
            <w:r>
              <w:t>Incorporate changes authorized by PSD3449M1.</w:t>
            </w:r>
          </w:p>
        </w:tc>
      </w:tr>
      <w:tr w:rsidR="001A725D" w:rsidRPr="00237225" w14:paraId="11FE8869" w14:textId="77777777" w:rsidTr="00CB52BC">
        <w:trPr>
          <w:cantSplit/>
        </w:trPr>
        <w:tc>
          <w:tcPr>
            <w:tcW w:w="1417" w:type="dxa"/>
          </w:tcPr>
          <w:p w14:paraId="2CC4421D" w14:textId="77777777" w:rsidR="001A725D" w:rsidRDefault="001A725D" w:rsidP="00D8394C">
            <w:pPr>
              <w:pStyle w:val="BodyText"/>
            </w:pPr>
            <w:r>
              <w:rPr>
                <w:sz w:val="22"/>
                <w:szCs w:val="22"/>
              </w:rPr>
              <w:lastRenderedPageBreak/>
              <w:t>PSD 3449M1</w:t>
            </w:r>
          </w:p>
        </w:tc>
        <w:tc>
          <w:tcPr>
            <w:tcW w:w="990" w:type="dxa"/>
          </w:tcPr>
          <w:p w14:paraId="00290B1C" w14:textId="77777777" w:rsidR="001A725D" w:rsidRDefault="001A725D" w:rsidP="00D8394C">
            <w:r>
              <w:t>9/23/11</w:t>
            </w:r>
          </w:p>
        </w:tc>
        <w:tc>
          <w:tcPr>
            <w:tcW w:w="1553" w:type="dxa"/>
          </w:tcPr>
          <w:p w14:paraId="419BE9F8" w14:textId="77777777" w:rsidR="001A725D" w:rsidRDefault="001A725D" w:rsidP="00D8394C">
            <w:r>
              <w:rPr>
                <w:sz w:val="22"/>
                <w:szCs w:val="22"/>
              </w:rPr>
              <w:t>PSD Minor Modification</w:t>
            </w:r>
          </w:p>
        </w:tc>
        <w:tc>
          <w:tcPr>
            <w:tcW w:w="5940" w:type="dxa"/>
          </w:tcPr>
          <w:p w14:paraId="156B9CCC" w14:textId="77777777" w:rsidR="001A725D" w:rsidRDefault="001A725D" w:rsidP="00D8394C">
            <w:r>
              <w:t>The current limit for ammonia emissions from each turbine/duct burner/SCR is 5 parts per million on a dry, volumetric basis corrected to 15% oxygen (5 ppmvd @ 15% O</w:t>
            </w:r>
            <w:r w:rsidRPr="00A361F1">
              <w:rPr>
                <w:vertAlign w:val="subscript"/>
              </w:rPr>
              <w:t>2</w:t>
            </w:r>
            <w:r>
              <w:t xml:space="preserve">).  In May 2011, LPP requested that the New Mexico Environment Department Air Quality Bureau (NMED AQB) allow an ammonia emission level based 10 ppmvd @ 15% </w:t>
            </w:r>
            <w:r w:rsidRPr="0082374B">
              <w:t>O</w:t>
            </w:r>
            <w:r w:rsidRPr="00A361F1">
              <w:rPr>
                <w:vertAlign w:val="subscript"/>
              </w:rPr>
              <w:t>2</w:t>
            </w:r>
            <w:r>
              <w:t>.  With this application, LPP proposes to revise the ammonia emissions limit from turbine/duct burner / SCR to the pound per hour and ton per year emission rates shown in Table 2-I to align these emissions with the expected performance of the existing pollution controls while providing adequate margin for compliance. Only the pph and tpy rates will be allowable limits based on a 10 % ammonia slip. The percent of slip will not be a separate limit.</w:t>
            </w:r>
          </w:p>
          <w:p w14:paraId="5C6B0DD5" w14:textId="77777777" w:rsidR="001A725D" w:rsidRDefault="001A725D" w:rsidP="00D8394C">
            <w:r w:rsidRPr="009F24B8">
              <w:rPr>
                <w:sz w:val="22"/>
                <w:szCs w:val="22"/>
              </w:rPr>
              <w:t>The proposed modification will consist of revis</w:t>
            </w:r>
            <w:r>
              <w:rPr>
                <w:sz w:val="22"/>
                <w:szCs w:val="22"/>
              </w:rPr>
              <w:t>ing</w:t>
            </w:r>
            <w:r w:rsidRPr="009F24B8">
              <w:rPr>
                <w:sz w:val="22"/>
                <w:szCs w:val="22"/>
              </w:rPr>
              <w:t xml:space="preserve"> </w:t>
            </w:r>
            <w:r w:rsidRPr="000237E5">
              <w:rPr>
                <w:sz w:val="22"/>
                <w:szCs w:val="22"/>
              </w:rPr>
              <w:t>the ammonia emissions from each</w:t>
            </w:r>
            <w:r>
              <w:rPr>
                <w:sz w:val="22"/>
                <w:szCs w:val="22"/>
              </w:rPr>
              <w:t xml:space="preserve"> of the two</w:t>
            </w:r>
            <w:r w:rsidRPr="000237E5">
              <w:rPr>
                <w:sz w:val="22"/>
                <w:szCs w:val="22"/>
              </w:rPr>
              <w:t xml:space="preserve"> turbine/duct burner/SCR </w:t>
            </w:r>
            <w:r>
              <w:rPr>
                <w:sz w:val="22"/>
                <w:szCs w:val="22"/>
              </w:rPr>
              <w:t xml:space="preserve">from 5 ppmvd @ 15% O2 </w:t>
            </w:r>
            <w:r w:rsidRPr="000237E5">
              <w:rPr>
                <w:sz w:val="22"/>
                <w:szCs w:val="22"/>
              </w:rPr>
              <w:t>to 10 ppmvd @ 15% O2 to align these emissions with the expected performance of the existing pollution controls while providing an adequate margin for compliance</w:t>
            </w:r>
            <w:r w:rsidRPr="009F24B8">
              <w:rPr>
                <w:sz w:val="22"/>
                <w:szCs w:val="22"/>
              </w:rPr>
              <w:t>; no physical changes to any emission source at the facility are proposed.</w:t>
            </w:r>
          </w:p>
        </w:tc>
      </w:tr>
      <w:tr w:rsidR="001A725D" w:rsidRPr="00237225" w14:paraId="5151E404" w14:textId="77777777" w:rsidTr="00CB52BC">
        <w:trPr>
          <w:cantSplit/>
        </w:trPr>
        <w:tc>
          <w:tcPr>
            <w:tcW w:w="1417" w:type="dxa"/>
          </w:tcPr>
          <w:p w14:paraId="6CC3EA6D" w14:textId="77777777" w:rsidR="001A725D" w:rsidRDefault="001A725D" w:rsidP="00D8394C">
            <w:pPr>
              <w:pStyle w:val="BodyText"/>
            </w:pPr>
            <w:r>
              <w:rPr>
                <w:sz w:val="22"/>
                <w:szCs w:val="22"/>
              </w:rPr>
              <w:t>P244M2</w:t>
            </w:r>
          </w:p>
        </w:tc>
        <w:tc>
          <w:tcPr>
            <w:tcW w:w="990" w:type="dxa"/>
          </w:tcPr>
          <w:p w14:paraId="33053FF9" w14:textId="77777777" w:rsidR="001A725D" w:rsidRPr="001A12C7" w:rsidRDefault="001A725D" w:rsidP="00D8394C">
            <w:r>
              <w:rPr>
                <w:sz w:val="22"/>
                <w:szCs w:val="22"/>
              </w:rPr>
              <w:t>8/3/11</w:t>
            </w:r>
          </w:p>
        </w:tc>
        <w:tc>
          <w:tcPr>
            <w:tcW w:w="1553" w:type="dxa"/>
          </w:tcPr>
          <w:p w14:paraId="6B740E58" w14:textId="77777777" w:rsidR="001A725D" w:rsidRDefault="001A725D" w:rsidP="00D8394C">
            <w:r>
              <w:rPr>
                <w:sz w:val="22"/>
                <w:szCs w:val="22"/>
              </w:rPr>
              <w:t>Minor Modification</w:t>
            </w:r>
          </w:p>
        </w:tc>
        <w:tc>
          <w:tcPr>
            <w:tcW w:w="5940" w:type="dxa"/>
          </w:tcPr>
          <w:p w14:paraId="5E572C78" w14:textId="77777777" w:rsidR="001A725D" w:rsidRDefault="001A725D" w:rsidP="00D8394C">
            <w:r>
              <w:t>Incorporate changes authorized by PSD3449R6 once it is issued.</w:t>
            </w:r>
          </w:p>
        </w:tc>
      </w:tr>
      <w:tr w:rsidR="001A725D" w:rsidRPr="00237225" w14:paraId="75CAC117" w14:textId="77777777" w:rsidTr="00CB52BC">
        <w:trPr>
          <w:cantSplit/>
        </w:trPr>
        <w:tc>
          <w:tcPr>
            <w:tcW w:w="1417" w:type="dxa"/>
          </w:tcPr>
          <w:p w14:paraId="4DA540EC" w14:textId="77777777" w:rsidR="001A725D" w:rsidRDefault="001A725D" w:rsidP="00D8394C">
            <w:pPr>
              <w:pStyle w:val="BodyText"/>
            </w:pPr>
            <w:r>
              <w:rPr>
                <w:sz w:val="22"/>
                <w:szCs w:val="22"/>
              </w:rPr>
              <w:t>PSD 3449R6</w:t>
            </w:r>
          </w:p>
        </w:tc>
        <w:tc>
          <w:tcPr>
            <w:tcW w:w="990" w:type="dxa"/>
          </w:tcPr>
          <w:p w14:paraId="57B884E9" w14:textId="77777777" w:rsidR="001A725D" w:rsidRDefault="001A725D" w:rsidP="00D8394C">
            <w:r>
              <w:rPr>
                <w:sz w:val="22"/>
                <w:szCs w:val="22"/>
              </w:rPr>
              <w:t>5/16/11</w:t>
            </w:r>
          </w:p>
        </w:tc>
        <w:tc>
          <w:tcPr>
            <w:tcW w:w="1553" w:type="dxa"/>
          </w:tcPr>
          <w:p w14:paraId="5CCFBD0E" w14:textId="77777777" w:rsidR="001A725D" w:rsidRDefault="001A725D" w:rsidP="00D8394C">
            <w:r>
              <w:rPr>
                <w:sz w:val="22"/>
                <w:szCs w:val="22"/>
              </w:rPr>
              <w:t>Technical Revision</w:t>
            </w:r>
          </w:p>
        </w:tc>
        <w:tc>
          <w:tcPr>
            <w:tcW w:w="5940" w:type="dxa"/>
          </w:tcPr>
          <w:p w14:paraId="289496D5" w14:textId="77777777" w:rsidR="001A725D" w:rsidRDefault="001A725D" w:rsidP="00D8394C">
            <w:r>
              <w:t>This technical revision pursuant to 20.2.72.219.B.1.e. NMAC is to adjust the TSP/PM</w:t>
            </w:r>
            <w:r w:rsidRPr="00E05125">
              <w:rPr>
                <w:vertAlign w:val="subscript"/>
              </w:rPr>
              <w:t>10</w:t>
            </w:r>
            <w:r>
              <w:rPr>
                <w:vertAlign w:val="subscript"/>
              </w:rPr>
              <w:t xml:space="preserve"> </w:t>
            </w:r>
            <w:r>
              <w:t>lb/MMBtu permit limit of 0.015 for the combustion turbines operating with (0.0089 lb/MMBtu) or without duct burners (0.0071 lb/MMBtu) to align with the TSP/PM</w:t>
            </w:r>
            <w:r w:rsidRPr="00E05125">
              <w:rPr>
                <w:vertAlign w:val="subscript"/>
              </w:rPr>
              <w:t>10</w:t>
            </w:r>
            <w:r>
              <w:rPr>
                <w:vertAlign w:val="subscript"/>
              </w:rPr>
              <w:t xml:space="preserve"> </w:t>
            </w:r>
            <w:r>
              <w:t>lb/hr and tpy permit limits based on recent performance test results. The revision will not result in an increase of emissions. The proposed revision also satisfies the requirement of PSD Permit 3449, Condition 2.e (to be removed) based on the results of the most recent performance test.</w:t>
            </w:r>
          </w:p>
          <w:p w14:paraId="676B2D90" w14:textId="77777777" w:rsidR="001A725D" w:rsidRDefault="001A725D" w:rsidP="00D8394C">
            <w:r>
              <w:t>Converted NSR Permit to New Format to match Title V permit.</w:t>
            </w:r>
          </w:p>
          <w:p w14:paraId="15BFD265" w14:textId="77777777" w:rsidR="001A725D" w:rsidRDefault="001A725D" w:rsidP="00D8394C"/>
          <w:p w14:paraId="7AF72170" w14:textId="77777777" w:rsidR="001A725D" w:rsidRDefault="001A725D" w:rsidP="00D8394C">
            <w:r>
              <w:t>PSD Major with BACT and this action is a minor modification.</w:t>
            </w:r>
          </w:p>
        </w:tc>
      </w:tr>
      <w:tr w:rsidR="001A725D" w:rsidRPr="00237225" w14:paraId="170370B0" w14:textId="77777777" w:rsidTr="00CB52BC">
        <w:trPr>
          <w:cantSplit/>
        </w:trPr>
        <w:tc>
          <w:tcPr>
            <w:tcW w:w="1417" w:type="dxa"/>
          </w:tcPr>
          <w:p w14:paraId="7E5E95D9" w14:textId="77777777" w:rsidR="001A725D" w:rsidRDefault="001A725D" w:rsidP="00D8394C">
            <w:pPr>
              <w:pStyle w:val="BodyText"/>
            </w:pPr>
            <w:r>
              <w:rPr>
                <w:sz w:val="22"/>
                <w:szCs w:val="22"/>
              </w:rPr>
              <w:t>P244M1</w:t>
            </w:r>
          </w:p>
        </w:tc>
        <w:tc>
          <w:tcPr>
            <w:tcW w:w="990" w:type="dxa"/>
          </w:tcPr>
          <w:p w14:paraId="0DA7A7D6" w14:textId="77777777" w:rsidR="001A725D" w:rsidRPr="001A12C7" w:rsidRDefault="001A725D" w:rsidP="00D8394C">
            <w:r>
              <w:rPr>
                <w:sz w:val="22"/>
                <w:szCs w:val="22"/>
              </w:rPr>
              <w:t>3/28/11</w:t>
            </w:r>
          </w:p>
        </w:tc>
        <w:tc>
          <w:tcPr>
            <w:tcW w:w="1553" w:type="dxa"/>
          </w:tcPr>
          <w:p w14:paraId="73DE75E9" w14:textId="77777777" w:rsidR="001A725D" w:rsidRDefault="001A725D" w:rsidP="00D8394C">
            <w:r>
              <w:rPr>
                <w:sz w:val="22"/>
                <w:szCs w:val="22"/>
              </w:rPr>
              <w:t>Administrative Revision</w:t>
            </w:r>
          </w:p>
        </w:tc>
        <w:tc>
          <w:tcPr>
            <w:tcW w:w="5940" w:type="dxa"/>
          </w:tcPr>
          <w:p w14:paraId="385E5C30" w14:textId="77777777" w:rsidR="001A725D" w:rsidRDefault="001A725D" w:rsidP="00D8394C">
            <w:r w:rsidRPr="00454297">
              <w:t>The New Mexico Environment</w:t>
            </w:r>
            <w:r w:rsidRPr="001939BF">
              <w:t xml:space="preserve"> Department has found the need to correct/clarify the reporting schedules required in Condition A109.A and B of Permit P</w:t>
            </w:r>
            <w:r>
              <w:t>244</w:t>
            </w:r>
            <w:r w:rsidRPr="001939BF">
              <w:t xml:space="preserve"> issued on January 2</w:t>
            </w:r>
            <w:r>
              <w:t>8</w:t>
            </w:r>
            <w:r w:rsidRPr="001939BF">
              <w:t>, 2011</w:t>
            </w:r>
            <w:r>
              <w:t>.</w:t>
            </w:r>
          </w:p>
        </w:tc>
      </w:tr>
      <w:tr w:rsidR="001A725D" w:rsidRPr="00237225" w14:paraId="7C57FF75" w14:textId="77777777" w:rsidTr="00CB52BC">
        <w:trPr>
          <w:cantSplit/>
        </w:trPr>
        <w:tc>
          <w:tcPr>
            <w:tcW w:w="1417" w:type="dxa"/>
          </w:tcPr>
          <w:p w14:paraId="7A06BBD8" w14:textId="77777777" w:rsidR="001A725D" w:rsidRDefault="001A725D" w:rsidP="00D8394C">
            <w:pPr>
              <w:pStyle w:val="BodyText"/>
            </w:pPr>
            <w:r w:rsidRPr="001A12C7">
              <w:rPr>
                <w:sz w:val="22"/>
                <w:szCs w:val="22"/>
              </w:rPr>
              <w:lastRenderedPageBreak/>
              <w:t>P244</w:t>
            </w:r>
          </w:p>
          <w:p w14:paraId="6F61383D" w14:textId="77777777" w:rsidR="001A725D" w:rsidRPr="001A12C7" w:rsidRDefault="001A725D" w:rsidP="00D8394C">
            <w:pPr>
              <w:pStyle w:val="BodyText"/>
            </w:pPr>
            <w:r>
              <w:rPr>
                <w:sz w:val="22"/>
                <w:szCs w:val="22"/>
              </w:rPr>
              <w:t>*P244A-R1</w:t>
            </w:r>
          </w:p>
        </w:tc>
        <w:tc>
          <w:tcPr>
            <w:tcW w:w="990" w:type="dxa"/>
          </w:tcPr>
          <w:p w14:paraId="7FB77637" w14:textId="77777777" w:rsidR="001A725D" w:rsidRPr="001A12C7" w:rsidRDefault="001A725D" w:rsidP="00D8394C">
            <w:r>
              <w:rPr>
                <w:sz w:val="22"/>
                <w:szCs w:val="22"/>
              </w:rPr>
              <w:t>1/28/11</w:t>
            </w:r>
          </w:p>
        </w:tc>
        <w:tc>
          <w:tcPr>
            <w:tcW w:w="1553" w:type="dxa"/>
          </w:tcPr>
          <w:p w14:paraId="3C3F1823" w14:textId="77777777" w:rsidR="001A725D" w:rsidRPr="001A12C7" w:rsidRDefault="001A725D" w:rsidP="00D8394C">
            <w:r w:rsidRPr="001A12C7">
              <w:rPr>
                <w:sz w:val="22"/>
                <w:szCs w:val="22"/>
              </w:rPr>
              <w:t>Title V New Permit</w:t>
            </w:r>
            <w:r>
              <w:rPr>
                <w:sz w:val="22"/>
                <w:szCs w:val="22"/>
              </w:rPr>
              <w:t>, renewal of Acid Rain</w:t>
            </w:r>
          </w:p>
        </w:tc>
        <w:tc>
          <w:tcPr>
            <w:tcW w:w="5940" w:type="dxa"/>
          </w:tcPr>
          <w:p w14:paraId="5B8DCFCE" w14:textId="77777777" w:rsidR="001A725D" w:rsidRDefault="001A725D" w:rsidP="00D8394C">
            <w:r w:rsidRPr="00237225">
              <w:t>New Title V Permit</w:t>
            </w:r>
            <w:r>
              <w:t xml:space="preserve"> to bring in requirements from PSD Permit 3449 and Administrative Revisions R1-R5 and the Acid Rain Permit P244A</w:t>
            </w:r>
            <w:r w:rsidRPr="00237225">
              <w:t xml:space="preserve">. </w:t>
            </w:r>
            <w:r>
              <w:t>The n</w:t>
            </w:r>
            <w:r w:rsidRPr="00237225">
              <w:t xml:space="preserve">ew </w:t>
            </w:r>
            <w:r>
              <w:t>p</w:t>
            </w:r>
            <w:r w:rsidRPr="00237225">
              <w:t xml:space="preserve">ermit </w:t>
            </w:r>
            <w:r>
              <w:t>t</w:t>
            </w:r>
            <w:r w:rsidRPr="00237225">
              <w:t>emplate</w:t>
            </w:r>
            <w:r>
              <w:t xml:space="preserve"> is used.</w:t>
            </w:r>
          </w:p>
          <w:p w14:paraId="6A69EA8C" w14:textId="77777777" w:rsidR="001A725D" w:rsidRPr="001A12C7" w:rsidRDefault="001A725D" w:rsidP="00D8394C">
            <w:r>
              <w:t>Renewed Acid Rain Permit early to synchronize the issue date with the Title V permit.</w:t>
            </w:r>
          </w:p>
        </w:tc>
      </w:tr>
      <w:tr w:rsidR="001A725D" w:rsidRPr="00237225" w14:paraId="3CE9FA3B" w14:textId="77777777" w:rsidTr="00CB52BC">
        <w:trPr>
          <w:cantSplit/>
        </w:trPr>
        <w:tc>
          <w:tcPr>
            <w:tcW w:w="1417" w:type="dxa"/>
          </w:tcPr>
          <w:p w14:paraId="56F01C58" w14:textId="77777777" w:rsidR="001A725D" w:rsidRPr="001A12C7" w:rsidRDefault="001A725D" w:rsidP="00D8394C">
            <w:pPr>
              <w:pStyle w:val="BodyText"/>
            </w:pPr>
            <w:r>
              <w:rPr>
                <w:sz w:val="22"/>
                <w:szCs w:val="22"/>
              </w:rPr>
              <w:t>3449-R5</w:t>
            </w:r>
          </w:p>
        </w:tc>
        <w:tc>
          <w:tcPr>
            <w:tcW w:w="990" w:type="dxa"/>
          </w:tcPr>
          <w:p w14:paraId="547C4B16" w14:textId="77777777" w:rsidR="001A725D" w:rsidRPr="001A12C7" w:rsidRDefault="001A725D" w:rsidP="00D8394C">
            <w:r>
              <w:rPr>
                <w:sz w:val="22"/>
                <w:szCs w:val="22"/>
              </w:rPr>
              <w:t>12/10/10</w:t>
            </w:r>
          </w:p>
        </w:tc>
        <w:tc>
          <w:tcPr>
            <w:tcW w:w="1553" w:type="dxa"/>
          </w:tcPr>
          <w:p w14:paraId="3F597325" w14:textId="77777777" w:rsidR="001A725D" w:rsidRPr="001A12C7" w:rsidRDefault="001A725D" w:rsidP="00D8394C">
            <w:r>
              <w:rPr>
                <w:sz w:val="22"/>
                <w:szCs w:val="22"/>
              </w:rPr>
              <w:t>Technical Revision</w:t>
            </w:r>
          </w:p>
        </w:tc>
        <w:tc>
          <w:tcPr>
            <w:tcW w:w="5940" w:type="dxa"/>
          </w:tcPr>
          <w:p w14:paraId="65A31859" w14:textId="77777777" w:rsidR="001A725D" w:rsidRPr="001A12C7" w:rsidRDefault="001A725D" w:rsidP="00D8394C">
            <w:r>
              <w:rPr>
                <w:sz w:val="22"/>
                <w:szCs w:val="22"/>
              </w:rPr>
              <w:t>Updated equipment capacities for the two Duct Burners, Units DB-1 and DB-2 from 300 MMBtu/h to 330 MMBtu/h in Table 1.1, Regulated Equipment List. Change required after shack down of facility to determine proper operational parameters. Change had minimum increase in actual emission rates and no increase in permitted allowable limits were necessary.</w:t>
            </w:r>
          </w:p>
        </w:tc>
      </w:tr>
      <w:tr w:rsidR="001A725D" w:rsidRPr="00237225" w14:paraId="072205FA" w14:textId="77777777" w:rsidTr="00CB52BC">
        <w:trPr>
          <w:cantSplit/>
        </w:trPr>
        <w:tc>
          <w:tcPr>
            <w:tcW w:w="1417" w:type="dxa"/>
          </w:tcPr>
          <w:p w14:paraId="7731727C" w14:textId="77777777" w:rsidR="001A725D" w:rsidRPr="001A12C7" w:rsidRDefault="001A725D" w:rsidP="00D8394C">
            <w:pPr>
              <w:pStyle w:val="BodyText"/>
            </w:pPr>
            <w:r>
              <w:rPr>
                <w:sz w:val="22"/>
                <w:szCs w:val="22"/>
              </w:rPr>
              <w:t>3449-R4</w:t>
            </w:r>
          </w:p>
        </w:tc>
        <w:tc>
          <w:tcPr>
            <w:tcW w:w="990" w:type="dxa"/>
          </w:tcPr>
          <w:p w14:paraId="3F020312" w14:textId="77777777" w:rsidR="001A725D" w:rsidRPr="001A12C7" w:rsidRDefault="001A725D" w:rsidP="00D8394C">
            <w:r>
              <w:rPr>
                <w:sz w:val="22"/>
                <w:szCs w:val="22"/>
              </w:rPr>
              <w:t>9/3/09</w:t>
            </w:r>
          </w:p>
        </w:tc>
        <w:tc>
          <w:tcPr>
            <w:tcW w:w="1553" w:type="dxa"/>
          </w:tcPr>
          <w:p w14:paraId="4B3CA57A" w14:textId="77777777" w:rsidR="001A725D" w:rsidRPr="001A12C7" w:rsidRDefault="001A725D" w:rsidP="00D8394C">
            <w:r>
              <w:rPr>
                <w:sz w:val="22"/>
                <w:szCs w:val="22"/>
              </w:rPr>
              <w:t>Administrative Revision</w:t>
            </w:r>
          </w:p>
        </w:tc>
        <w:tc>
          <w:tcPr>
            <w:tcW w:w="5940" w:type="dxa"/>
          </w:tcPr>
          <w:p w14:paraId="70A50E49" w14:textId="77777777" w:rsidR="001A725D" w:rsidRPr="001A12C7" w:rsidRDefault="001A725D" w:rsidP="00D8394C">
            <w:r>
              <w:rPr>
                <w:sz w:val="22"/>
                <w:szCs w:val="22"/>
              </w:rPr>
              <w:t>Updated Company Officials.</w:t>
            </w:r>
          </w:p>
        </w:tc>
      </w:tr>
      <w:tr w:rsidR="001A725D" w:rsidRPr="00237225" w14:paraId="322C4494" w14:textId="77777777" w:rsidTr="00CB52BC">
        <w:trPr>
          <w:cantSplit/>
        </w:trPr>
        <w:tc>
          <w:tcPr>
            <w:tcW w:w="1417" w:type="dxa"/>
          </w:tcPr>
          <w:p w14:paraId="3F4BFA3F" w14:textId="77777777" w:rsidR="001A725D" w:rsidRPr="001A12C7" w:rsidRDefault="001A725D" w:rsidP="00D8394C">
            <w:pPr>
              <w:pStyle w:val="BodyText"/>
            </w:pPr>
            <w:r>
              <w:rPr>
                <w:sz w:val="22"/>
                <w:szCs w:val="22"/>
              </w:rPr>
              <w:t>3449-R3</w:t>
            </w:r>
          </w:p>
        </w:tc>
        <w:tc>
          <w:tcPr>
            <w:tcW w:w="990" w:type="dxa"/>
          </w:tcPr>
          <w:p w14:paraId="60CC2617" w14:textId="77777777" w:rsidR="001A725D" w:rsidRPr="001A12C7" w:rsidRDefault="001A725D" w:rsidP="00D8394C">
            <w:r>
              <w:rPr>
                <w:sz w:val="22"/>
                <w:szCs w:val="22"/>
              </w:rPr>
              <w:t>9/2/09</w:t>
            </w:r>
          </w:p>
        </w:tc>
        <w:tc>
          <w:tcPr>
            <w:tcW w:w="1553" w:type="dxa"/>
          </w:tcPr>
          <w:p w14:paraId="12DE2D14" w14:textId="77777777" w:rsidR="001A725D" w:rsidRPr="001A12C7" w:rsidRDefault="001A725D" w:rsidP="00D8394C">
            <w:r>
              <w:rPr>
                <w:sz w:val="22"/>
                <w:szCs w:val="22"/>
              </w:rPr>
              <w:t>Administrative Revision</w:t>
            </w:r>
          </w:p>
        </w:tc>
        <w:tc>
          <w:tcPr>
            <w:tcW w:w="5940" w:type="dxa"/>
          </w:tcPr>
          <w:p w14:paraId="7074213E" w14:textId="77777777" w:rsidR="001A725D" w:rsidRPr="001A12C7" w:rsidRDefault="001A725D" w:rsidP="00D8394C">
            <w:r>
              <w:rPr>
                <w:sz w:val="22"/>
                <w:szCs w:val="22"/>
              </w:rPr>
              <w:t>Added some exempt equipment listed as Apex evaporation devices.</w:t>
            </w:r>
          </w:p>
        </w:tc>
      </w:tr>
      <w:tr w:rsidR="001A725D" w:rsidRPr="00237225" w14:paraId="0D544FB9" w14:textId="77777777" w:rsidTr="00CB52BC">
        <w:trPr>
          <w:cantSplit/>
        </w:trPr>
        <w:tc>
          <w:tcPr>
            <w:tcW w:w="1417" w:type="dxa"/>
          </w:tcPr>
          <w:p w14:paraId="674FC1BF" w14:textId="77777777" w:rsidR="001A725D" w:rsidRPr="001A12C7" w:rsidRDefault="001A725D" w:rsidP="00D8394C">
            <w:pPr>
              <w:pStyle w:val="BodyText"/>
            </w:pPr>
            <w:r>
              <w:rPr>
                <w:sz w:val="22"/>
                <w:szCs w:val="22"/>
              </w:rPr>
              <w:t>3449-R2</w:t>
            </w:r>
          </w:p>
        </w:tc>
        <w:tc>
          <w:tcPr>
            <w:tcW w:w="990" w:type="dxa"/>
          </w:tcPr>
          <w:p w14:paraId="79C8B05F" w14:textId="77777777" w:rsidR="001A725D" w:rsidRPr="001A12C7" w:rsidRDefault="001A725D" w:rsidP="00D8394C">
            <w:r>
              <w:rPr>
                <w:sz w:val="22"/>
                <w:szCs w:val="22"/>
              </w:rPr>
              <w:t>4/25/08</w:t>
            </w:r>
          </w:p>
        </w:tc>
        <w:tc>
          <w:tcPr>
            <w:tcW w:w="1553" w:type="dxa"/>
          </w:tcPr>
          <w:p w14:paraId="2323339C" w14:textId="77777777" w:rsidR="001A725D" w:rsidRPr="001A12C7" w:rsidRDefault="001A725D" w:rsidP="00D8394C">
            <w:r>
              <w:rPr>
                <w:sz w:val="22"/>
                <w:szCs w:val="22"/>
              </w:rPr>
              <w:t>Administrative Revision</w:t>
            </w:r>
          </w:p>
        </w:tc>
        <w:tc>
          <w:tcPr>
            <w:tcW w:w="5940" w:type="dxa"/>
          </w:tcPr>
          <w:p w14:paraId="187FAE55" w14:textId="77777777" w:rsidR="001A725D" w:rsidRDefault="001A725D" w:rsidP="00D8394C">
            <w:r>
              <w:rPr>
                <w:sz w:val="22"/>
                <w:szCs w:val="22"/>
              </w:rPr>
              <w:t>Updated equipment model/serial numbers, equipment locations, equipment capacities, and the addition of the following exempt equipment: FH-3, IC-3, and AC-3.”</w:t>
            </w:r>
          </w:p>
          <w:p w14:paraId="754FB15E" w14:textId="77777777" w:rsidR="001A725D" w:rsidRPr="001A12C7" w:rsidRDefault="001A725D" w:rsidP="00D8394C">
            <w:r>
              <w:rPr>
                <w:sz w:val="22"/>
                <w:szCs w:val="22"/>
              </w:rPr>
              <w:t>Note as of 12/1/10 by Joe Kimbrell: exemption does not apply to PSD actions, therefore these three units were added to regulated equipment list and emission limit table with no increase in emission limits.</w:t>
            </w:r>
          </w:p>
        </w:tc>
      </w:tr>
      <w:tr w:rsidR="001A725D" w:rsidRPr="00237225" w14:paraId="7C966534" w14:textId="77777777" w:rsidTr="00CB52BC">
        <w:trPr>
          <w:cantSplit/>
        </w:trPr>
        <w:tc>
          <w:tcPr>
            <w:tcW w:w="1417" w:type="dxa"/>
          </w:tcPr>
          <w:p w14:paraId="76832753" w14:textId="77777777" w:rsidR="001A725D" w:rsidRPr="001A12C7" w:rsidRDefault="001A725D" w:rsidP="00D8394C">
            <w:pPr>
              <w:pStyle w:val="BodyText"/>
            </w:pPr>
            <w:r>
              <w:rPr>
                <w:sz w:val="22"/>
                <w:szCs w:val="22"/>
              </w:rPr>
              <w:t>3449-R1</w:t>
            </w:r>
          </w:p>
        </w:tc>
        <w:tc>
          <w:tcPr>
            <w:tcW w:w="990" w:type="dxa"/>
          </w:tcPr>
          <w:p w14:paraId="2088810F" w14:textId="77777777" w:rsidR="001A725D" w:rsidRPr="001A12C7" w:rsidRDefault="001A725D" w:rsidP="00D8394C">
            <w:r>
              <w:rPr>
                <w:sz w:val="22"/>
                <w:szCs w:val="22"/>
              </w:rPr>
              <w:t>3/25/08</w:t>
            </w:r>
          </w:p>
        </w:tc>
        <w:tc>
          <w:tcPr>
            <w:tcW w:w="1553" w:type="dxa"/>
          </w:tcPr>
          <w:p w14:paraId="2FCBD120" w14:textId="77777777" w:rsidR="001A725D" w:rsidRPr="001A12C7" w:rsidRDefault="001A725D" w:rsidP="00D8394C">
            <w:r>
              <w:rPr>
                <w:sz w:val="22"/>
                <w:szCs w:val="22"/>
              </w:rPr>
              <w:t>Administrative Revision</w:t>
            </w:r>
          </w:p>
        </w:tc>
        <w:tc>
          <w:tcPr>
            <w:tcW w:w="5940" w:type="dxa"/>
          </w:tcPr>
          <w:p w14:paraId="392286B3" w14:textId="77777777" w:rsidR="001A725D" w:rsidRPr="001A12C7" w:rsidRDefault="001A725D" w:rsidP="00D8394C">
            <w:r>
              <w:rPr>
                <w:sz w:val="22"/>
                <w:szCs w:val="22"/>
              </w:rPr>
              <w:t>Revised for clarification Condition 1.h to read: “The facility shall not store or use aqueous ammonia in concentrations greater than 19% in SCR-1 and SCR-2. However, if aqueous ammonia in concentrations greater than 20% is utilized, storage shall be limited to 20,000 pounds.”</w:t>
            </w:r>
          </w:p>
        </w:tc>
      </w:tr>
      <w:tr w:rsidR="001A725D" w:rsidRPr="00237225" w14:paraId="474D2D9E" w14:textId="77777777" w:rsidTr="00CB52BC">
        <w:trPr>
          <w:cantSplit/>
        </w:trPr>
        <w:tc>
          <w:tcPr>
            <w:tcW w:w="1417" w:type="dxa"/>
          </w:tcPr>
          <w:p w14:paraId="30B57679" w14:textId="77777777" w:rsidR="001A725D" w:rsidRDefault="001A725D" w:rsidP="00D8394C">
            <w:pPr>
              <w:pStyle w:val="BodyText"/>
            </w:pPr>
            <w:r>
              <w:rPr>
                <w:sz w:val="22"/>
                <w:szCs w:val="22"/>
              </w:rPr>
              <w:t>P244A</w:t>
            </w:r>
          </w:p>
        </w:tc>
        <w:tc>
          <w:tcPr>
            <w:tcW w:w="990" w:type="dxa"/>
          </w:tcPr>
          <w:p w14:paraId="3C8EE017" w14:textId="77777777" w:rsidR="001A725D" w:rsidRDefault="001A725D" w:rsidP="00D8394C">
            <w:r>
              <w:rPr>
                <w:sz w:val="22"/>
                <w:szCs w:val="22"/>
              </w:rPr>
              <w:t>3/19/08</w:t>
            </w:r>
          </w:p>
        </w:tc>
        <w:tc>
          <w:tcPr>
            <w:tcW w:w="1553" w:type="dxa"/>
          </w:tcPr>
          <w:p w14:paraId="5037ADEB" w14:textId="77777777" w:rsidR="001A725D" w:rsidRDefault="001A725D" w:rsidP="00D8394C">
            <w:r>
              <w:rPr>
                <w:sz w:val="22"/>
                <w:szCs w:val="22"/>
              </w:rPr>
              <w:t>Acid Rain Permit</w:t>
            </w:r>
          </w:p>
        </w:tc>
        <w:tc>
          <w:tcPr>
            <w:tcW w:w="5940" w:type="dxa"/>
          </w:tcPr>
          <w:p w14:paraId="0317E8DE" w14:textId="77777777" w:rsidR="001A725D" w:rsidRDefault="001A725D" w:rsidP="00D8394C">
            <w:r>
              <w:rPr>
                <w:sz w:val="22"/>
                <w:szCs w:val="22"/>
              </w:rPr>
              <w:t>New Acid Rain Permit issued for Units HOBB-1 and HOBB-2.</w:t>
            </w:r>
          </w:p>
        </w:tc>
      </w:tr>
      <w:tr w:rsidR="001A725D" w:rsidRPr="00237225" w14:paraId="58DABCC0" w14:textId="77777777" w:rsidTr="00CB52BC">
        <w:trPr>
          <w:cantSplit/>
        </w:trPr>
        <w:tc>
          <w:tcPr>
            <w:tcW w:w="1417" w:type="dxa"/>
          </w:tcPr>
          <w:p w14:paraId="76DBDD3D" w14:textId="77777777" w:rsidR="001A725D" w:rsidRPr="001A12C7" w:rsidRDefault="001A725D" w:rsidP="00D8394C">
            <w:r w:rsidRPr="001A12C7">
              <w:rPr>
                <w:sz w:val="22"/>
                <w:szCs w:val="22"/>
              </w:rPr>
              <w:t>3449</w:t>
            </w:r>
          </w:p>
        </w:tc>
        <w:tc>
          <w:tcPr>
            <w:tcW w:w="990" w:type="dxa"/>
          </w:tcPr>
          <w:p w14:paraId="6BC37201" w14:textId="77777777" w:rsidR="001A725D" w:rsidRPr="001A12C7" w:rsidRDefault="001A725D" w:rsidP="00D8394C">
            <w:r>
              <w:rPr>
                <w:sz w:val="22"/>
                <w:szCs w:val="22"/>
              </w:rPr>
              <w:t>3/29/07</w:t>
            </w:r>
          </w:p>
        </w:tc>
        <w:tc>
          <w:tcPr>
            <w:tcW w:w="1553" w:type="dxa"/>
          </w:tcPr>
          <w:p w14:paraId="43F99284" w14:textId="77777777" w:rsidR="001A725D" w:rsidRPr="001A12C7" w:rsidRDefault="001A725D" w:rsidP="00D8394C">
            <w:r>
              <w:rPr>
                <w:sz w:val="22"/>
                <w:szCs w:val="22"/>
              </w:rPr>
              <w:t>PSD</w:t>
            </w:r>
            <w:r w:rsidRPr="001A12C7">
              <w:rPr>
                <w:sz w:val="22"/>
                <w:szCs w:val="22"/>
              </w:rPr>
              <w:t xml:space="preserve"> New Permit</w:t>
            </w:r>
          </w:p>
        </w:tc>
        <w:tc>
          <w:tcPr>
            <w:tcW w:w="5940" w:type="dxa"/>
          </w:tcPr>
          <w:p w14:paraId="5876990F" w14:textId="77777777" w:rsidR="001A725D" w:rsidRPr="001A12C7" w:rsidRDefault="001A725D" w:rsidP="00D8394C">
            <w:r>
              <w:rPr>
                <w:sz w:val="22"/>
                <w:szCs w:val="22"/>
              </w:rPr>
              <w:t>The construction of this facility was a PSD Significant Project and full PSD review was accomplished and BACT was established.</w:t>
            </w:r>
          </w:p>
        </w:tc>
      </w:tr>
    </w:tbl>
    <w:p w14:paraId="5A87E598" w14:textId="77777777" w:rsidR="00BF43B7" w:rsidRDefault="00BF43B7" w:rsidP="00FA0F04">
      <w:pPr>
        <w:widowControl w:val="0"/>
        <w:jc w:val="both"/>
      </w:pPr>
    </w:p>
    <w:p w14:paraId="2A7FDBE0" w14:textId="69ED6EE7" w:rsidR="001000E5" w:rsidRDefault="00BF43B7" w:rsidP="00FA0F04">
      <w:pPr>
        <w:widowControl w:val="0"/>
        <w:numPr>
          <w:ilvl w:val="0"/>
          <w:numId w:val="1"/>
        </w:numPr>
        <w:jc w:val="both"/>
      </w:pPr>
      <w:r>
        <w:rPr>
          <w:b/>
          <w:bCs/>
          <w:u w:val="single"/>
        </w:rPr>
        <w:t>Public Response/Concerns:</w:t>
      </w:r>
      <w:r>
        <w:rPr>
          <w:b/>
          <w:bCs/>
        </w:rPr>
        <w:t xml:space="preserve">  </w:t>
      </w:r>
      <w:r>
        <w:t xml:space="preserve"> </w:t>
      </w:r>
      <w:r w:rsidR="005E6A96">
        <w:t xml:space="preserve">As of the current date, no public comments have been received.  The public notice published in the Hobbs news Sun on 11/22/18.  </w:t>
      </w:r>
      <w:r w:rsidR="003C0B2E">
        <w:t xml:space="preserve">The application </w:t>
      </w:r>
      <w:r w:rsidR="005E6A96">
        <w:t>and preliminary determination were</w:t>
      </w:r>
      <w:r w:rsidR="003C0B2E">
        <w:t xml:space="preserve"> also posted to</w:t>
      </w:r>
      <w:r w:rsidR="003C0B2E" w:rsidRPr="003C0B2E">
        <w:t xml:space="preserve"> </w:t>
      </w:r>
      <w:r w:rsidR="003C0B2E">
        <w:t>the AQB website</w:t>
      </w:r>
      <w:r w:rsidR="00AD6D7F">
        <w:t xml:space="preserve"> on</w:t>
      </w:r>
      <w:r w:rsidR="005E6A96">
        <w:t>11/21/18</w:t>
      </w:r>
      <w:r w:rsidR="003C0B2E">
        <w:t>.</w:t>
      </w:r>
    </w:p>
    <w:p w14:paraId="00DE70BB" w14:textId="77777777" w:rsidR="00207240" w:rsidRDefault="00207240" w:rsidP="00885C33">
      <w:pPr>
        <w:widowControl w:val="0"/>
        <w:ind w:left="1080"/>
        <w:jc w:val="both"/>
        <w:rPr>
          <w:bCs/>
        </w:rPr>
      </w:pPr>
    </w:p>
    <w:p w14:paraId="3E640FF2" w14:textId="77777777" w:rsidR="00BF43B7" w:rsidRDefault="00BF43B7" w:rsidP="001B79A0">
      <w:pPr>
        <w:widowControl w:val="0"/>
        <w:jc w:val="both"/>
        <w:rPr>
          <w:u w:val="single"/>
        </w:rPr>
      </w:pPr>
    </w:p>
    <w:p w14:paraId="1FC48691" w14:textId="77777777" w:rsidR="00BF43B7" w:rsidRPr="005E6A96" w:rsidRDefault="00BF43B7" w:rsidP="00FA0F04">
      <w:pPr>
        <w:widowControl w:val="0"/>
        <w:numPr>
          <w:ilvl w:val="0"/>
          <w:numId w:val="1"/>
        </w:numPr>
        <w:jc w:val="both"/>
        <w:rPr>
          <w:highlight w:val="yellow"/>
          <w:u w:val="single"/>
        </w:rPr>
      </w:pPr>
      <w:r w:rsidRPr="005E6A96">
        <w:rPr>
          <w:b/>
          <w:bCs/>
          <w:highlight w:val="yellow"/>
          <w:u w:val="single"/>
        </w:rPr>
        <w:t>Compliance Testing</w:t>
      </w:r>
      <w:r w:rsidR="00E90A5E" w:rsidRPr="005E6A96">
        <w:rPr>
          <w:b/>
          <w:bCs/>
          <w:highlight w:val="yellow"/>
          <w:u w:val="single"/>
        </w:rPr>
        <w:t xml:space="preserve"> History</w:t>
      </w:r>
      <w:r w:rsidRPr="005E6A96">
        <w:rPr>
          <w:b/>
          <w:bCs/>
          <w:highlight w:val="yellow"/>
          <w:u w:val="single"/>
        </w:rPr>
        <w:t>:</w:t>
      </w:r>
      <w:r w:rsidRPr="005E6A96">
        <w:rPr>
          <w:sz w:val="22"/>
          <w:szCs w:val="22"/>
          <w:highlight w:val="yellow"/>
        </w:rPr>
        <w:t xml:space="preserve"> </w:t>
      </w:r>
    </w:p>
    <w:p w14:paraId="0CBD22E0" w14:textId="2E154C84" w:rsidR="009146A9" w:rsidRDefault="009146A9" w:rsidP="009146A9">
      <w:pPr>
        <w:widowControl w:val="0"/>
        <w:ind w:left="720"/>
        <w:jc w:val="both"/>
        <w:rPr>
          <w:u w:val="single"/>
        </w:rPr>
      </w:pPr>
    </w:p>
    <w:p w14:paraId="516B1F5F" w14:textId="77777777" w:rsidR="00BF43B7" w:rsidRDefault="00BF43B7" w:rsidP="009146A9">
      <w:pPr>
        <w:widowControl w:val="0"/>
        <w:jc w:val="both"/>
        <w:rPr>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96"/>
        <w:gridCol w:w="1436"/>
        <w:gridCol w:w="1027"/>
        <w:gridCol w:w="3916"/>
        <w:gridCol w:w="1475"/>
      </w:tblGrid>
      <w:tr w:rsidR="00207240" w:rsidRPr="00207240" w14:paraId="67C5B129" w14:textId="77777777" w:rsidTr="00D0687D">
        <w:trPr>
          <w:trHeight w:val="260"/>
          <w:jc w:val="center"/>
        </w:trPr>
        <w:tc>
          <w:tcPr>
            <w:tcW w:w="1605" w:type="dxa"/>
            <w:shd w:val="clear" w:color="auto" w:fill="D9D9D9"/>
            <w:tcMar>
              <w:top w:w="0" w:type="dxa"/>
              <w:left w:w="108" w:type="dxa"/>
              <w:bottom w:w="0" w:type="dxa"/>
              <w:right w:w="108" w:type="dxa"/>
            </w:tcMar>
            <w:vAlign w:val="center"/>
            <w:hideMark/>
          </w:tcPr>
          <w:p w14:paraId="59F5CD4E" w14:textId="77777777" w:rsidR="00207240" w:rsidRPr="00207240" w:rsidRDefault="00207240" w:rsidP="00207240">
            <w:pPr>
              <w:autoSpaceDE w:val="0"/>
              <w:autoSpaceDN w:val="0"/>
              <w:spacing w:before="40" w:after="40"/>
              <w:jc w:val="center"/>
              <w:rPr>
                <w:rFonts w:eastAsia="Calibri"/>
                <w:b/>
                <w:sz w:val="21"/>
                <w:szCs w:val="21"/>
              </w:rPr>
            </w:pPr>
            <w:r w:rsidRPr="00207240">
              <w:rPr>
                <w:b/>
                <w:sz w:val="21"/>
                <w:szCs w:val="21"/>
              </w:rPr>
              <w:t>Unit No.</w:t>
            </w:r>
          </w:p>
        </w:tc>
        <w:tc>
          <w:tcPr>
            <w:tcW w:w="1584" w:type="dxa"/>
            <w:shd w:val="clear" w:color="auto" w:fill="D9D9D9"/>
            <w:vAlign w:val="center"/>
          </w:tcPr>
          <w:p w14:paraId="45D21635" w14:textId="77777777" w:rsidR="00207240" w:rsidRPr="00207240" w:rsidRDefault="00207240" w:rsidP="00207240">
            <w:pPr>
              <w:autoSpaceDE w:val="0"/>
              <w:autoSpaceDN w:val="0"/>
              <w:spacing w:before="40" w:after="40"/>
              <w:jc w:val="center"/>
              <w:rPr>
                <w:b/>
                <w:sz w:val="21"/>
                <w:szCs w:val="21"/>
              </w:rPr>
            </w:pPr>
            <w:r w:rsidRPr="00207240">
              <w:rPr>
                <w:b/>
                <w:sz w:val="21"/>
                <w:szCs w:val="21"/>
              </w:rPr>
              <w:t>Permit No.</w:t>
            </w:r>
          </w:p>
        </w:tc>
        <w:tc>
          <w:tcPr>
            <w:tcW w:w="1080" w:type="dxa"/>
            <w:shd w:val="clear" w:color="auto" w:fill="D9D9D9"/>
            <w:vAlign w:val="center"/>
          </w:tcPr>
          <w:p w14:paraId="27AAC62C" w14:textId="77777777" w:rsidR="00207240" w:rsidRPr="00207240" w:rsidRDefault="00207240" w:rsidP="00207240">
            <w:pPr>
              <w:autoSpaceDE w:val="0"/>
              <w:autoSpaceDN w:val="0"/>
              <w:spacing w:before="40" w:after="40"/>
              <w:jc w:val="center"/>
              <w:rPr>
                <w:b/>
                <w:sz w:val="21"/>
                <w:szCs w:val="21"/>
              </w:rPr>
            </w:pPr>
            <w:r w:rsidRPr="00207240">
              <w:rPr>
                <w:b/>
                <w:sz w:val="21"/>
                <w:szCs w:val="21"/>
              </w:rPr>
              <w:t>Permit Cond.</w:t>
            </w:r>
          </w:p>
        </w:tc>
        <w:tc>
          <w:tcPr>
            <w:tcW w:w="4320" w:type="dxa"/>
            <w:shd w:val="clear" w:color="auto" w:fill="D9D9D9"/>
            <w:tcMar>
              <w:top w:w="0" w:type="dxa"/>
              <w:left w:w="108" w:type="dxa"/>
              <w:bottom w:w="0" w:type="dxa"/>
              <w:right w:w="108" w:type="dxa"/>
            </w:tcMar>
            <w:vAlign w:val="center"/>
            <w:hideMark/>
          </w:tcPr>
          <w:p w14:paraId="5D81546F" w14:textId="77777777" w:rsidR="00207240" w:rsidRPr="00207240" w:rsidRDefault="00207240" w:rsidP="00207240">
            <w:pPr>
              <w:autoSpaceDE w:val="0"/>
              <w:autoSpaceDN w:val="0"/>
              <w:spacing w:before="40" w:after="40"/>
              <w:jc w:val="center"/>
              <w:rPr>
                <w:rFonts w:eastAsia="Calibri"/>
                <w:b/>
                <w:sz w:val="21"/>
                <w:szCs w:val="21"/>
              </w:rPr>
            </w:pPr>
            <w:r w:rsidRPr="00207240">
              <w:rPr>
                <w:b/>
                <w:sz w:val="21"/>
                <w:szCs w:val="21"/>
              </w:rPr>
              <w:t>Test Description</w:t>
            </w:r>
          </w:p>
        </w:tc>
        <w:tc>
          <w:tcPr>
            <w:tcW w:w="1530" w:type="dxa"/>
            <w:shd w:val="clear" w:color="auto" w:fill="D9D9D9"/>
            <w:tcMar>
              <w:top w:w="0" w:type="dxa"/>
              <w:left w:w="108" w:type="dxa"/>
              <w:bottom w:w="0" w:type="dxa"/>
              <w:right w:w="108" w:type="dxa"/>
            </w:tcMar>
            <w:vAlign w:val="center"/>
            <w:hideMark/>
          </w:tcPr>
          <w:p w14:paraId="459106FB" w14:textId="77777777" w:rsidR="00207240" w:rsidRPr="00207240" w:rsidRDefault="00207240" w:rsidP="00207240">
            <w:pPr>
              <w:autoSpaceDE w:val="0"/>
              <w:autoSpaceDN w:val="0"/>
              <w:spacing w:before="40" w:after="40"/>
              <w:jc w:val="center"/>
              <w:rPr>
                <w:rFonts w:eastAsia="Calibri"/>
                <w:b/>
                <w:sz w:val="21"/>
                <w:szCs w:val="21"/>
              </w:rPr>
            </w:pPr>
            <w:r w:rsidRPr="00207240">
              <w:rPr>
                <w:b/>
                <w:sz w:val="21"/>
                <w:szCs w:val="21"/>
              </w:rPr>
              <w:t>Test Date</w:t>
            </w:r>
          </w:p>
        </w:tc>
      </w:tr>
      <w:tr w:rsidR="00207240" w:rsidRPr="00207240" w14:paraId="4B749EDA" w14:textId="77777777" w:rsidTr="00D0687D">
        <w:trPr>
          <w:jc w:val="center"/>
        </w:trPr>
        <w:tc>
          <w:tcPr>
            <w:tcW w:w="1605" w:type="dxa"/>
            <w:vMerge w:val="restart"/>
            <w:tcMar>
              <w:top w:w="0" w:type="dxa"/>
              <w:left w:w="108" w:type="dxa"/>
              <w:bottom w:w="0" w:type="dxa"/>
              <w:right w:w="108" w:type="dxa"/>
            </w:tcMar>
            <w:vAlign w:val="center"/>
          </w:tcPr>
          <w:p w14:paraId="262A53E7" w14:textId="77777777" w:rsidR="00207240" w:rsidRPr="00207240" w:rsidRDefault="00207240" w:rsidP="00207240">
            <w:pPr>
              <w:autoSpaceDE w:val="0"/>
              <w:autoSpaceDN w:val="0"/>
              <w:spacing w:before="20" w:after="20"/>
              <w:rPr>
                <w:sz w:val="21"/>
                <w:szCs w:val="21"/>
              </w:rPr>
            </w:pPr>
            <w:r w:rsidRPr="00207240">
              <w:rPr>
                <w:sz w:val="21"/>
                <w:szCs w:val="21"/>
              </w:rPr>
              <w:t>HOBB-1/DB-1</w:t>
            </w:r>
          </w:p>
        </w:tc>
        <w:tc>
          <w:tcPr>
            <w:tcW w:w="1584" w:type="dxa"/>
            <w:vMerge w:val="restart"/>
            <w:vAlign w:val="center"/>
          </w:tcPr>
          <w:p w14:paraId="40E18EDF" w14:textId="77777777" w:rsidR="00207240" w:rsidRPr="00207240" w:rsidRDefault="00207240" w:rsidP="00207240">
            <w:pPr>
              <w:autoSpaceDE w:val="0"/>
              <w:autoSpaceDN w:val="0"/>
              <w:spacing w:before="20" w:after="20"/>
              <w:ind w:left="123"/>
              <w:rPr>
                <w:sz w:val="21"/>
                <w:szCs w:val="21"/>
              </w:rPr>
            </w:pPr>
            <w:r w:rsidRPr="00207240">
              <w:rPr>
                <w:sz w:val="21"/>
                <w:szCs w:val="21"/>
              </w:rPr>
              <w:t xml:space="preserve">PSD 3449-M2 </w:t>
            </w:r>
          </w:p>
        </w:tc>
        <w:tc>
          <w:tcPr>
            <w:tcW w:w="1080" w:type="dxa"/>
            <w:vAlign w:val="center"/>
          </w:tcPr>
          <w:p w14:paraId="2832E591" w14:textId="77777777" w:rsidR="00207240" w:rsidRPr="00207240" w:rsidRDefault="00207240" w:rsidP="00207240">
            <w:pPr>
              <w:autoSpaceDE w:val="0"/>
              <w:autoSpaceDN w:val="0"/>
              <w:spacing w:before="20" w:after="20"/>
              <w:ind w:left="108"/>
              <w:rPr>
                <w:sz w:val="21"/>
                <w:szCs w:val="21"/>
              </w:rPr>
            </w:pPr>
            <w:r w:rsidRPr="00207240">
              <w:rPr>
                <w:sz w:val="21"/>
                <w:szCs w:val="21"/>
              </w:rPr>
              <w:t>A401A</w:t>
            </w:r>
          </w:p>
        </w:tc>
        <w:tc>
          <w:tcPr>
            <w:tcW w:w="4320" w:type="dxa"/>
            <w:tcMar>
              <w:top w:w="0" w:type="dxa"/>
              <w:left w:w="108" w:type="dxa"/>
              <w:bottom w:w="0" w:type="dxa"/>
              <w:right w:w="108" w:type="dxa"/>
            </w:tcMar>
            <w:vAlign w:val="center"/>
          </w:tcPr>
          <w:p w14:paraId="439DBC60" w14:textId="77777777" w:rsidR="00207240" w:rsidRPr="00207240" w:rsidRDefault="00207240" w:rsidP="00207240">
            <w:pPr>
              <w:autoSpaceDE w:val="0"/>
              <w:autoSpaceDN w:val="0"/>
              <w:spacing w:before="20" w:after="20"/>
              <w:rPr>
                <w:sz w:val="21"/>
                <w:szCs w:val="21"/>
              </w:rPr>
            </w:pPr>
            <w:r w:rsidRPr="00207240">
              <w:rPr>
                <w:sz w:val="21"/>
                <w:szCs w:val="21"/>
              </w:rPr>
              <w:t>Initial Compliance for PM/PM10/PM2.5</w:t>
            </w:r>
          </w:p>
        </w:tc>
        <w:tc>
          <w:tcPr>
            <w:tcW w:w="1530" w:type="dxa"/>
            <w:tcMar>
              <w:top w:w="0" w:type="dxa"/>
              <w:left w:w="108" w:type="dxa"/>
              <w:bottom w:w="0" w:type="dxa"/>
              <w:right w:w="108" w:type="dxa"/>
            </w:tcMar>
            <w:vAlign w:val="center"/>
          </w:tcPr>
          <w:p w14:paraId="15507A68" w14:textId="77777777" w:rsidR="00207240" w:rsidRPr="00207240" w:rsidRDefault="00207240" w:rsidP="00207240">
            <w:pPr>
              <w:autoSpaceDE w:val="0"/>
              <w:autoSpaceDN w:val="0"/>
              <w:spacing w:before="20" w:after="20"/>
              <w:rPr>
                <w:sz w:val="21"/>
                <w:szCs w:val="21"/>
              </w:rPr>
            </w:pPr>
            <w:r w:rsidRPr="00207240">
              <w:rPr>
                <w:sz w:val="21"/>
                <w:szCs w:val="21"/>
              </w:rPr>
              <w:t>3/5/2015 - 3/6/2015</w:t>
            </w:r>
          </w:p>
        </w:tc>
      </w:tr>
      <w:tr w:rsidR="00207240" w:rsidRPr="00207240" w14:paraId="4C5AB421" w14:textId="77777777" w:rsidTr="00D0687D">
        <w:trPr>
          <w:jc w:val="center"/>
        </w:trPr>
        <w:tc>
          <w:tcPr>
            <w:tcW w:w="1605" w:type="dxa"/>
            <w:vMerge/>
            <w:tcMar>
              <w:top w:w="0" w:type="dxa"/>
              <w:left w:w="108" w:type="dxa"/>
              <w:bottom w:w="0" w:type="dxa"/>
              <w:right w:w="108" w:type="dxa"/>
            </w:tcMar>
            <w:vAlign w:val="center"/>
            <w:hideMark/>
          </w:tcPr>
          <w:p w14:paraId="53FEFE71" w14:textId="77777777" w:rsidR="00207240" w:rsidRPr="00207240" w:rsidRDefault="00207240" w:rsidP="00207240">
            <w:pPr>
              <w:autoSpaceDE w:val="0"/>
              <w:autoSpaceDN w:val="0"/>
              <w:spacing w:before="20" w:after="20"/>
              <w:rPr>
                <w:rFonts w:eastAsia="Calibri"/>
                <w:sz w:val="21"/>
                <w:szCs w:val="21"/>
              </w:rPr>
            </w:pPr>
          </w:p>
        </w:tc>
        <w:tc>
          <w:tcPr>
            <w:tcW w:w="1584" w:type="dxa"/>
            <w:vMerge/>
            <w:vAlign w:val="center"/>
          </w:tcPr>
          <w:p w14:paraId="78740871" w14:textId="77777777" w:rsidR="00207240" w:rsidRPr="00207240" w:rsidRDefault="00207240" w:rsidP="00207240">
            <w:pPr>
              <w:autoSpaceDE w:val="0"/>
              <w:autoSpaceDN w:val="0"/>
              <w:spacing w:before="20" w:after="20"/>
              <w:ind w:left="123"/>
              <w:rPr>
                <w:sz w:val="21"/>
                <w:szCs w:val="21"/>
              </w:rPr>
            </w:pPr>
          </w:p>
        </w:tc>
        <w:tc>
          <w:tcPr>
            <w:tcW w:w="1080" w:type="dxa"/>
            <w:vAlign w:val="center"/>
          </w:tcPr>
          <w:p w14:paraId="1674DDA0" w14:textId="77777777" w:rsidR="00207240" w:rsidRPr="00207240" w:rsidRDefault="00207240" w:rsidP="00207240">
            <w:pPr>
              <w:autoSpaceDE w:val="0"/>
              <w:autoSpaceDN w:val="0"/>
              <w:spacing w:before="20" w:after="20"/>
              <w:ind w:left="108"/>
              <w:rPr>
                <w:sz w:val="21"/>
                <w:szCs w:val="21"/>
              </w:rPr>
            </w:pPr>
            <w:r w:rsidRPr="00207240">
              <w:rPr>
                <w:sz w:val="21"/>
                <w:szCs w:val="21"/>
              </w:rPr>
              <w:t>A401C</w:t>
            </w:r>
          </w:p>
        </w:tc>
        <w:tc>
          <w:tcPr>
            <w:tcW w:w="4320" w:type="dxa"/>
            <w:tcMar>
              <w:top w:w="0" w:type="dxa"/>
              <w:left w:w="108" w:type="dxa"/>
              <w:bottom w:w="0" w:type="dxa"/>
              <w:right w:w="108" w:type="dxa"/>
            </w:tcMar>
            <w:vAlign w:val="center"/>
            <w:hideMark/>
          </w:tcPr>
          <w:p w14:paraId="1C66FF4B" w14:textId="77777777" w:rsidR="00207240" w:rsidRPr="00207240" w:rsidRDefault="00207240" w:rsidP="00207240">
            <w:pPr>
              <w:autoSpaceDE w:val="0"/>
              <w:autoSpaceDN w:val="0"/>
              <w:spacing w:before="20" w:after="20"/>
              <w:rPr>
                <w:sz w:val="21"/>
                <w:szCs w:val="21"/>
              </w:rPr>
            </w:pPr>
            <w:r w:rsidRPr="00207240">
              <w:rPr>
                <w:sz w:val="21"/>
                <w:szCs w:val="21"/>
              </w:rPr>
              <w:t>RATA testing in accordance with EPA test methods for NOx and CO.</w:t>
            </w:r>
          </w:p>
        </w:tc>
        <w:tc>
          <w:tcPr>
            <w:tcW w:w="1530" w:type="dxa"/>
            <w:tcMar>
              <w:top w:w="0" w:type="dxa"/>
              <w:left w:w="108" w:type="dxa"/>
              <w:bottom w:w="0" w:type="dxa"/>
              <w:right w:w="108" w:type="dxa"/>
            </w:tcMar>
            <w:vAlign w:val="center"/>
          </w:tcPr>
          <w:p w14:paraId="365CB49E" w14:textId="77777777" w:rsidR="00207240" w:rsidRPr="00207240" w:rsidRDefault="00207240" w:rsidP="00207240">
            <w:pPr>
              <w:autoSpaceDE w:val="0"/>
              <w:autoSpaceDN w:val="0"/>
              <w:spacing w:before="20" w:after="20"/>
              <w:rPr>
                <w:sz w:val="21"/>
                <w:szCs w:val="21"/>
              </w:rPr>
            </w:pPr>
            <w:r w:rsidRPr="00207240">
              <w:rPr>
                <w:sz w:val="21"/>
                <w:szCs w:val="21"/>
              </w:rPr>
              <w:t>9/23/2015</w:t>
            </w:r>
          </w:p>
          <w:p w14:paraId="1D89D91B" w14:textId="77777777" w:rsidR="00207240" w:rsidRPr="00207240" w:rsidRDefault="00207240" w:rsidP="00207240">
            <w:pPr>
              <w:autoSpaceDE w:val="0"/>
              <w:autoSpaceDN w:val="0"/>
              <w:spacing w:before="20" w:after="20"/>
              <w:rPr>
                <w:sz w:val="21"/>
                <w:szCs w:val="21"/>
              </w:rPr>
            </w:pPr>
            <w:r w:rsidRPr="00207240">
              <w:rPr>
                <w:sz w:val="21"/>
                <w:szCs w:val="21"/>
              </w:rPr>
              <w:t>9/17/2014</w:t>
            </w:r>
          </w:p>
        </w:tc>
      </w:tr>
      <w:tr w:rsidR="00207240" w:rsidRPr="00207240" w14:paraId="2500884E" w14:textId="77777777" w:rsidTr="00D0687D">
        <w:trPr>
          <w:jc w:val="center"/>
        </w:trPr>
        <w:tc>
          <w:tcPr>
            <w:tcW w:w="1605" w:type="dxa"/>
            <w:vMerge/>
            <w:tcMar>
              <w:top w:w="0" w:type="dxa"/>
              <w:left w:w="108" w:type="dxa"/>
              <w:bottom w:w="0" w:type="dxa"/>
              <w:right w:w="108" w:type="dxa"/>
            </w:tcMar>
          </w:tcPr>
          <w:p w14:paraId="4EBD2F3A" w14:textId="77777777" w:rsidR="00207240" w:rsidRPr="00207240" w:rsidRDefault="00207240" w:rsidP="00207240">
            <w:pPr>
              <w:autoSpaceDE w:val="0"/>
              <w:autoSpaceDN w:val="0"/>
              <w:spacing w:before="20" w:after="20"/>
              <w:rPr>
                <w:rFonts w:eastAsia="Calibri"/>
                <w:sz w:val="21"/>
                <w:szCs w:val="21"/>
              </w:rPr>
            </w:pPr>
          </w:p>
        </w:tc>
        <w:tc>
          <w:tcPr>
            <w:tcW w:w="1584" w:type="dxa"/>
            <w:vMerge/>
          </w:tcPr>
          <w:p w14:paraId="4AC9AAB9" w14:textId="77777777" w:rsidR="00207240" w:rsidRPr="00207240" w:rsidRDefault="00207240" w:rsidP="00207240">
            <w:pPr>
              <w:autoSpaceDE w:val="0"/>
              <w:autoSpaceDN w:val="0"/>
              <w:spacing w:before="20" w:after="20"/>
              <w:ind w:left="123"/>
              <w:rPr>
                <w:sz w:val="21"/>
                <w:szCs w:val="21"/>
              </w:rPr>
            </w:pPr>
          </w:p>
        </w:tc>
        <w:tc>
          <w:tcPr>
            <w:tcW w:w="1080" w:type="dxa"/>
            <w:vAlign w:val="center"/>
          </w:tcPr>
          <w:p w14:paraId="35A74F34" w14:textId="77777777" w:rsidR="00207240" w:rsidRPr="00207240" w:rsidRDefault="00207240" w:rsidP="00207240">
            <w:pPr>
              <w:autoSpaceDE w:val="0"/>
              <w:autoSpaceDN w:val="0"/>
              <w:spacing w:before="20" w:after="20"/>
              <w:ind w:left="108"/>
              <w:rPr>
                <w:sz w:val="21"/>
                <w:szCs w:val="21"/>
              </w:rPr>
            </w:pPr>
            <w:r w:rsidRPr="00207240">
              <w:rPr>
                <w:sz w:val="21"/>
                <w:szCs w:val="21"/>
              </w:rPr>
              <w:t>A401E</w:t>
            </w:r>
          </w:p>
        </w:tc>
        <w:tc>
          <w:tcPr>
            <w:tcW w:w="4320" w:type="dxa"/>
            <w:tcMar>
              <w:top w:w="0" w:type="dxa"/>
              <w:left w:w="108" w:type="dxa"/>
              <w:bottom w:w="0" w:type="dxa"/>
              <w:right w:w="108" w:type="dxa"/>
            </w:tcMar>
            <w:vAlign w:val="center"/>
            <w:hideMark/>
          </w:tcPr>
          <w:p w14:paraId="6E96491E" w14:textId="77777777" w:rsidR="00207240" w:rsidRPr="00207240" w:rsidRDefault="00207240" w:rsidP="00207240">
            <w:pPr>
              <w:autoSpaceDE w:val="0"/>
              <w:autoSpaceDN w:val="0"/>
              <w:spacing w:before="20" w:after="20"/>
              <w:rPr>
                <w:rFonts w:eastAsia="Calibri"/>
                <w:sz w:val="21"/>
                <w:szCs w:val="21"/>
              </w:rPr>
            </w:pPr>
            <w:r w:rsidRPr="00207240">
              <w:rPr>
                <w:sz w:val="21"/>
                <w:szCs w:val="21"/>
              </w:rPr>
              <w:t xml:space="preserve">Annual ammonia compliance testing. </w:t>
            </w:r>
          </w:p>
        </w:tc>
        <w:tc>
          <w:tcPr>
            <w:tcW w:w="1530" w:type="dxa"/>
            <w:tcMar>
              <w:top w:w="0" w:type="dxa"/>
              <w:left w:w="108" w:type="dxa"/>
              <w:bottom w:w="0" w:type="dxa"/>
              <w:right w:w="108" w:type="dxa"/>
            </w:tcMar>
            <w:vAlign w:val="center"/>
            <w:hideMark/>
          </w:tcPr>
          <w:p w14:paraId="167FEBD4" w14:textId="77777777" w:rsidR="00207240" w:rsidRPr="00207240" w:rsidRDefault="00207240" w:rsidP="00207240">
            <w:pPr>
              <w:autoSpaceDE w:val="0"/>
              <w:autoSpaceDN w:val="0"/>
              <w:spacing w:before="20" w:after="20"/>
              <w:rPr>
                <w:sz w:val="21"/>
                <w:szCs w:val="21"/>
              </w:rPr>
            </w:pPr>
            <w:r w:rsidRPr="00207240">
              <w:rPr>
                <w:sz w:val="21"/>
                <w:szCs w:val="21"/>
              </w:rPr>
              <w:t>9/23/2015-</w:t>
            </w:r>
          </w:p>
          <w:p w14:paraId="4486D518" w14:textId="77777777" w:rsidR="00207240" w:rsidRPr="00207240" w:rsidRDefault="00207240" w:rsidP="00207240">
            <w:pPr>
              <w:autoSpaceDE w:val="0"/>
              <w:autoSpaceDN w:val="0"/>
              <w:spacing w:before="20" w:after="20"/>
              <w:rPr>
                <w:sz w:val="21"/>
                <w:szCs w:val="21"/>
              </w:rPr>
            </w:pPr>
            <w:r w:rsidRPr="00207240">
              <w:rPr>
                <w:sz w:val="21"/>
                <w:szCs w:val="21"/>
              </w:rPr>
              <w:t>9/24/2015</w:t>
            </w:r>
          </w:p>
          <w:p w14:paraId="03A9D296" w14:textId="77777777" w:rsidR="00207240" w:rsidRPr="00207240" w:rsidRDefault="00207240" w:rsidP="00207240">
            <w:pPr>
              <w:autoSpaceDE w:val="0"/>
              <w:autoSpaceDN w:val="0"/>
              <w:spacing w:before="20" w:after="20"/>
              <w:rPr>
                <w:rFonts w:eastAsia="Calibri"/>
                <w:sz w:val="21"/>
                <w:szCs w:val="21"/>
              </w:rPr>
            </w:pPr>
            <w:r w:rsidRPr="00207240">
              <w:rPr>
                <w:sz w:val="21"/>
                <w:szCs w:val="21"/>
              </w:rPr>
              <w:t>9/17/2014</w:t>
            </w:r>
          </w:p>
        </w:tc>
      </w:tr>
      <w:tr w:rsidR="00207240" w:rsidRPr="00207240" w14:paraId="2224D60F" w14:textId="77777777" w:rsidTr="00D0687D">
        <w:trPr>
          <w:jc w:val="center"/>
        </w:trPr>
        <w:tc>
          <w:tcPr>
            <w:tcW w:w="1605" w:type="dxa"/>
            <w:vMerge/>
            <w:tcMar>
              <w:top w:w="0" w:type="dxa"/>
              <w:left w:w="108" w:type="dxa"/>
              <w:bottom w:w="0" w:type="dxa"/>
              <w:right w:w="108" w:type="dxa"/>
            </w:tcMar>
          </w:tcPr>
          <w:p w14:paraId="2079DA93" w14:textId="77777777" w:rsidR="00207240" w:rsidRPr="00207240" w:rsidRDefault="00207240" w:rsidP="00207240">
            <w:pPr>
              <w:autoSpaceDE w:val="0"/>
              <w:autoSpaceDN w:val="0"/>
              <w:spacing w:before="20" w:after="20"/>
              <w:rPr>
                <w:rFonts w:eastAsia="Calibri"/>
                <w:sz w:val="21"/>
                <w:szCs w:val="21"/>
              </w:rPr>
            </w:pPr>
          </w:p>
        </w:tc>
        <w:tc>
          <w:tcPr>
            <w:tcW w:w="1584" w:type="dxa"/>
            <w:vMerge w:val="restart"/>
            <w:vAlign w:val="center"/>
          </w:tcPr>
          <w:p w14:paraId="7DC302C1" w14:textId="77777777" w:rsidR="00207240" w:rsidRPr="00207240" w:rsidRDefault="00207240" w:rsidP="00207240">
            <w:pPr>
              <w:autoSpaceDE w:val="0"/>
              <w:autoSpaceDN w:val="0"/>
              <w:spacing w:before="20" w:after="20"/>
              <w:ind w:left="123"/>
              <w:rPr>
                <w:sz w:val="21"/>
                <w:szCs w:val="21"/>
              </w:rPr>
            </w:pPr>
            <w:r w:rsidRPr="00207240">
              <w:rPr>
                <w:sz w:val="21"/>
                <w:szCs w:val="21"/>
              </w:rPr>
              <w:t>PSD 3449-M1</w:t>
            </w:r>
          </w:p>
        </w:tc>
        <w:tc>
          <w:tcPr>
            <w:tcW w:w="1080" w:type="dxa"/>
            <w:vAlign w:val="center"/>
          </w:tcPr>
          <w:p w14:paraId="3D4D9FA6" w14:textId="77777777" w:rsidR="00207240" w:rsidRPr="00207240" w:rsidRDefault="00207240" w:rsidP="00207240">
            <w:pPr>
              <w:autoSpaceDE w:val="0"/>
              <w:autoSpaceDN w:val="0"/>
              <w:spacing w:before="20" w:after="20"/>
              <w:ind w:left="108"/>
              <w:rPr>
                <w:sz w:val="21"/>
                <w:szCs w:val="21"/>
              </w:rPr>
            </w:pPr>
            <w:r w:rsidRPr="00207240">
              <w:rPr>
                <w:sz w:val="21"/>
                <w:szCs w:val="21"/>
              </w:rPr>
              <w:t>A401C</w:t>
            </w:r>
          </w:p>
        </w:tc>
        <w:tc>
          <w:tcPr>
            <w:tcW w:w="4320" w:type="dxa"/>
            <w:tcMar>
              <w:top w:w="0" w:type="dxa"/>
              <w:left w:w="108" w:type="dxa"/>
              <w:bottom w:w="0" w:type="dxa"/>
              <w:right w:w="108" w:type="dxa"/>
            </w:tcMar>
            <w:vAlign w:val="center"/>
            <w:hideMark/>
          </w:tcPr>
          <w:p w14:paraId="65F26EC1" w14:textId="77777777" w:rsidR="00207240" w:rsidRPr="00207240" w:rsidRDefault="00207240" w:rsidP="00207240">
            <w:pPr>
              <w:autoSpaceDE w:val="0"/>
              <w:autoSpaceDN w:val="0"/>
              <w:spacing w:before="20" w:after="20"/>
              <w:rPr>
                <w:rFonts w:eastAsia="Calibri"/>
                <w:sz w:val="21"/>
                <w:szCs w:val="21"/>
              </w:rPr>
            </w:pPr>
            <w:r w:rsidRPr="00207240">
              <w:rPr>
                <w:sz w:val="21"/>
                <w:szCs w:val="21"/>
              </w:rPr>
              <w:t>RATA testing in accordance with EPA test methods for NOx and CO.</w:t>
            </w:r>
          </w:p>
        </w:tc>
        <w:tc>
          <w:tcPr>
            <w:tcW w:w="1530" w:type="dxa"/>
            <w:tcMar>
              <w:top w:w="0" w:type="dxa"/>
              <w:left w:w="108" w:type="dxa"/>
              <w:bottom w:w="0" w:type="dxa"/>
              <w:right w:w="108" w:type="dxa"/>
            </w:tcMar>
            <w:vAlign w:val="center"/>
          </w:tcPr>
          <w:p w14:paraId="208FDEF2" w14:textId="77777777" w:rsidR="00207240" w:rsidRPr="00207240" w:rsidRDefault="00207240" w:rsidP="00207240">
            <w:pPr>
              <w:autoSpaceDE w:val="0"/>
              <w:autoSpaceDN w:val="0"/>
              <w:spacing w:before="20" w:after="20"/>
              <w:rPr>
                <w:sz w:val="21"/>
                <w:szCs w:val="21"/>
              </w:rPr>
            </w:pPr>
            <w:r w:rsidRPr="00207240">
              <w:rPr>
                <w:sz w:val="21"/>
                <w:szCs w:val="21"/>
              </w:rPr>
              <w:t>11/13/2013</w:t>
            </w:r>
          </w:p>
          <w:p w14:paraId="4A68B4EB" w14:textId="77777777" w:rsidR="00207240" w:rsidRPr="00207240" w:rsidRDefault="00207240" w:rsidP="00207240">
            <w:pPr>
              <w:autoSpaceDE w:val="0"/>
              <w:autoSpaceDN w:val="0"/>
              <w:spacing w:before="20" w:after="20"/>
              <w:rPr>
                <w:sz w:val="21"/>
                <w:szCs w:val="21"/>
              </w:rPr>
            </w:pPr>
            <w:r w:rsidRPr="00207240">
              <w:rPr>
                <w:sz w:val="21"/>
                <w:szCs w:val="21"/>
              </w:rPr>
              <w:t>11/7/2012</w:t>
            </w:r>
          </w:p>
          <w:p w14:paraId="2DF16E65" w14:textId="77777777" w:rsidR="00207240" w:rsidRPr="00207240" w:rsidRDefault="00207240" w:rsidP="00207240">
            <w:pPr>
              <w:autoSpaceDE w:val="0"/>
              <w:autoSpaceDN w:val="0"/>
              <w:spacing w:before="20" w:after="20"/>
              <w:rPr>
                <w:rFonts w:eastAsia="Calibri"/>
                <w:sz w:val="21"/>
                <w:szCs w:val="21"/>
              </w:rPr>
            </w:pPr>
            <w:r w:rsidRPr="00207240">
              <w:rPr>
                <w:sz w:val="21"/>
                <w:szCs w:val="21"/>
              </w:rPr>
              <w:t>11/30/2011</w:t>
            </w:r>
          </w:p>
        </w:tc>
      </w:tr>
      <w:tr w:rsidR="00207240" w:rsidRPr="00207240" w14:paraId="7BB8F36D" w14:textId="77777777" w:rsidTr="00D0687D">
        <w:trPr>
          <w:jc w:val="center"/>
        </w:trPr>
        <w:tc>
          <w:tcPr>
            <w:tcW w:w="1605" w:type="dxa"/>
            <w:vMerge/>
            <w:tcMar>
              <w:top w:w="0" w:type="dxa"/>
              <w:left w:w="108" w:type="dxa"/>
              <w:bottom w:w="0" w:type="dxa"/>
              <w:right w:w="108" w:type="dxa"/>
            </w:tcMar>
          </w:tcPr>
          <w:p w14:paraId="7A34CE38" w14:textId="77777777" w:rsidR="00207240" w:rsidRPr="00207240" w:rsidRDefault="00207240" w:rsidP="00207240">
            <w:pPr>
              <w:autoSpaceDE w:val="0"/>
              <w:autoSpaceDN w:val="0"/>
              <w:spacing w:before="20" w:after="20"/>
              <w:rPr>
                <w:rFonts w:eastAsia="Calibri"/>
                <w:sz w:val="21"/>
                <w:szCs w:val="21"/>
              </w:rPr>
            </w:pPr>
          </w:p>
        </w:tc>
        <w:tc>
          <w:tcPr>
            <w:tcW w:w="1584" w:type="dxa"/>
            <w:vMerge/>
          </w:tcPr>
          <w:p w14:paraId="56D83334" w14:textId="77777777" w:rsidR="00207240" w:rsidRPr="00207240" w:rsidRDefault="00207240" w:rsidP="00207240">
            <w:pPr>
              <w:autoSpaceDE w:val="0"/>
              <w:autoSpaceDN w:val="0"/>
              <w:spacing w:before="20" w:after="20"/>
              <w:ind w:left="123"/>
              <w:rPr>
                <w:sz w:val="21"/>
                <w:szCs w:val="21"/>
              </w:rPr>
            </w:pPr>
          </w:p>
        </w:tc>
        <w:tc>
          <w:tcPr>
            <w:tcW w:w="1080" w:type="dxa"/>
            <w:vAlign w:val="center"/>
          </w:tcPr>
          <w:p w14:paraId="3F312B48" w14:textId="77777777" w:rsidR="00207240" w:rsidRPr="00207240" w:rsidRDefault="00207240" w:rsidP="00207240">
            <w:pPr>
              <w:autoSpaceDE w:val="0"/>
              <w:autoSpaceDN w:val="0"/>
              <w:spacing w:before="20" w:after="20"/>
              <w:ind w:left="108"/>
              <w:rPr>
                <w:sz w:val="21"/>
                <w:szCs w:val="21"/>
              </w:rPr>
            </w:pPr>
            <w:r w:rsidRPr="00207240">
              <w:rPr>
                <w:sz w:val="21"/>
                <w:szCs w:val="21"/>
              </w:rPr>
              <w:t>A401A</w:t>
            </w:r>
          </w:p>
        </w:tc>
        <w:tc>
          <w:tcPr>
            <w:tcW w:w="4320" w:type="dxa"/>
            <w:tcMar>
              <w:top w:w="0" w:type="dxa"/>
              <w:left w:w="108" w:type="dxa"/>
              <w:bottom w:w="0" w:type="dxa"/>
              <w:right w:w="108" w:type="dxa"/>
            </w:tcMar>
            <w:vAlign w:val="center"/>
            <w:hideMark/>
          </w:tcPr>
          <w:p w14:paraId="5C563761" w14:textId="77777777" w:rsidR="00207240" w:rsidRPr="00207240" w:rsidRDefault="00207240" w:rsidP="00207240">
            <w:pPr>
              <w:autoSpaceDE w:val="0"/>
              <w:autoSpaceDN w:val="0"/>
              <w:spacing w:before="20" w:after="20"/>
              <w:rPr>
                <w:rFonts w:eastAsia="Calibri"/>
                <w:sz w:val="21"/>
                <w:szCs w:val="21"/>
              </w:rPr>
            </w:pPr>
            <w:r w:rsidRPr="00207240">
              <w:rPr>
                <w:sz w:val="21"/>
                <w:szCs w:val="21"/>
              </w:rPr>
              <w:t>Annual stack testing for NOx and CO.</w:t>
            </w:r>
          </w:p>
        </w:tc>
        <w:tc>
          <w:tcPr>
            <w:tcW w:w="1530" w:type="dxa"/>
            <w:tcMar>
              <w:top w:w="0" w:type="dxa"/>
              <w:left w:w="108" w:type="dxa"/>
              <w:bottom w:w="0" w:type="dxa"/>
              <w:right w:w="108" w:type="dxa"/>
            </w:tcMar>
            <w:vAlign w:val="center"/>
            <w:hideMark/>
          </w:tcPr>
          <w:p w14:paraId="7297765A" w14:textId="77777777" w:rsidR="00207240" w:rsidRPr="00207240" w:rsidRDefault="00207240" w:rsidP="00207240">
            <w:pPr>
              <w:autoSpaceDE w:val="0"/>
              <w:autoSpaceDN w:val="0"/>
              <w:spacing w:before="20" w:after="20"/>
              <w:rPr>
                <w:sz w:val="21"/>
                <w:szCs w:val="21"/>
              </w:rPr>
            </w:pPr>
            <w:r w:rsidRPr="00207240">
              <w:rPr>
                <w:sz w:val="21"/>
                <w:szCs w:val="21"/>
              </w:rPr>
              <w:t>11/13/2013</w:t>
            </w:r>
          </w:p>
          <w:p w14:paraId="37A44D09" w14:textId="77777777" w:rsidR="00207240" w:rsidRPr="00207240" w:rsidRDefault="00207240" w:rsidP="00207240">
            <w:pPr>
              <w:autoSpaceDE w:val="0"/>
              <w:autoSpaceDN w:val="0"/>
              <w:spacing w:before="20" w:after="20"/>
              <w:rPr>
                <w:sz w:val="21"/>
                <w:szCs w:val="21"/>
              </w:rPr>
            </w:pPr>
            <w:r w:rsidRPr="00207240">
              <w:rPr>
                <w:sz w:val="21"/>
                <w:szCs w:val="21"/>
              </w:rPr>
              <w:t>11/7/2012</w:t>
            </w:r>
          </w:p>
          <w:p w14:paraId="352C334D" w14:textId="77777777" w:rsidR="00207240" w:rsidRPr="00207240" w:rsidRDefault="00207240" w:rsidP="00207240">
            <w:pPr>
              <w:autoSpaceDE w:val="0"/>
              <w:autoSpaceDN w:val="0"/>
              <w:spacing w:before="20" w:after="20"/>
              <w:rPr>
                <w:rFonts w:eastAsia="Calibri"/>
                <w:sz w:val="21"/>
                <w:szCs w:val="21"/>
              </w:rPr>
            </w:pPr>
            <w:r w:rsidRPr="00207240">
              <w:rPr>
                <w:sz w:val="21"/>
                <w:szCs w:val="21"/>
              </w:rPr>
              <w:t>11/30/2011</w:t>
            </w:r>
          </w:p>
        </w:tc>
      </w:tr>
      <w:tr w:rsidR="00207240" w:rsidRPr="00207240" w14:paraId="78B6A3AB" w14:textId="77777777" w:rsidTr="00D0687D">
        <w:trPr>
          <w:jc w:val="center"/>
        </w:trPr>
        <w:tc>
          <w:tcPr>
            <w:tcW w:w="1605" w:type="dxa"/>
            <w:vMerge/>
            <w:tcMar>
              <w:top w:w="0" w:type="dxa"/>
              <w:left w:w="108" w:type="dxa"/>
              <w:bottom w:w="0" w:type="dxa"/>
              <w:right w:w="108" w:type="dxa"/>
            </w:tcMar>
          </w:tcPr>
          <w:p w14:paraId="015F905E" w14:textId="77777777" w:rsidR="00207240" w:rsidRPr="00207240" w:rsidRDefault="00207240" w:rsidP="00207240">
            <w:pPr>
              <w:autoSpaceDE w:val="0"/>
              <w:autoSpaceDN w:val="0"/>
              <w:spacing w:before="20" w:after="20"/>
              <w:rPr>
                <w:rFonts w:eastAsia="Calibri"/>
                <w:sz w:val="21"/>
                <w:szCs w:val="21"/>
              </w:rPr>
            </w:pPr>
          </w:p>
        </w:tc>
        <w:tc>
          <w:tcPr>
            <w:tcW w:w="1584" w:type="dxa"/>
            <w:vMerge/>
          </w:tcPr>
          <w:p w14:paraId="4A320BB0" w14:textId="77777777" w:rsidR="00207240" w:rsidRPr="00207240" w:rsidRDefault="00207240" w:rsidP="00207240">
            <w:pPr>
              <w:autoSpaceDE w:val="0"/>
              <w:autoSpaceDN w:val="0"/>
              <w:spacing w:before="20" w:after="20"/>
              <w:ind w:left="123"/>
              <w:rPr>
                <w:sz w:val="21"/>
                <w:szCs w:val="21"/>
              </w:rPr>
            </w:pPr>
          </w:p>
        </w:tc>
        <w:tc>
          <w:tcPr>
            <w:tcW w:w="1080" w:type="dxa"/>
            <w:vAlign w:val="center"/>
          </w:tcPr>
          <w:p w14:paraId="7CF738D9" w14:textId="77777777" w:rsidR="00207240" w:rsidRPr="00207240" w:rsidRDefault="00207240" w:rsidP="00207240">
            <w:pPr>
              <w:autoSpaceDE w:val="0"/>
              <w:autoSpaceDN w:val="0"/>
              <w:spacing w:before="20" w:after="20"/>
              <w:ind w:left="108"/>
              <w:rPr>
                <w:sz w:val="21"/>
                <w:szCs w:val="21"/>
              </w:rPr>
            </w:pPr>
            <w:r w:rsidRPr="00207240">
              <w:rPr>
                <w:sz w:val="21"/>
                <w:szCs w:val="21"/>
              </w:rPr>
              <w:t>A401E</w:t>
            </w:r>
          </w:p>
        </w:tc>
        <w:tc>
          <w:tcPr>
            <w:tcW w:w="4320" w:type="dxa"/>
            <w:tcMar>
              <w:top w:w="0" w:type="dxa"/>
              <w:left w:w="108" w:type="dxa"/>
              <w:bottom w:w="0" w:type="dxa"/>
              <w:right w:w="108" w:type="dxa"/>
            </w:tcMar>
            <w:vAlign w:val="center"/>
            <w:hideMark/>
          </w:tcPr>
          <w:p w14:paraId="334CE74D" w14:textId="77777777" w:rsidR="00207240" w:rsidRPr="00207240" w:rsidRDefault="00207240" w:rsidP="00207240">
            <w:pPr>
              <w:autoSpaceDE w:val="0"/>
              <w:autoSpaceDN w:val="0"/>
              <w:spacing w:before="20" w:after="20"/>
              <w:rPr>
                <w:rFonts w:eastAsia="Calibri"/>
                <w:sz w:val="21"/>
                <w:szCs w:val="21"/>
              </w:rPr>
            </w:pPr>
            <w:r w:rsidRPr="00207240">
              <w:rPr>
                <w:sz w:val="21"/>
                <w:szCs w:val="21"/>
              </w:rPr>
              <w:t>Annual ammonia compliance testing.</w:t>
            </w:r>
          </w:p>
        </w:tc>
        <w:tc>
          <w:tcPr>
            <w:tcW w:w="1530" w:type="dxa"/>
            <w:tcMar>
              <w:top w:w="0" w:type="dxa"/>
              <w:left w:w="108" w:type="dxa"/>
              <w:bottom w:w="0" w:type="dxa"/>
              <w:right w:w="108" w:type="dxa"/>
            </w:tcMar>
            <w:vAlign w:val="center"/>
            <w:hideMark/>
          </w:tcPr>
          <w:p w14:paraId="2852423A" w14:textId="77777777" w:rsidR="00207240" w:rsidRPr="00207240" w:rsidRDefault="00207240" w:rsidP="00207240">
            <w:pPr>
              <w:autoSpaceDE w:val="0"/>
              <w:autoSpaceDN w:val="0"/>
              <w:spacing w:before="20" w:after="20"/>
              <w:rPr>
                <w:sz w:val="21"/>
                <w:szCs w:val="21"/>
              </w:rPr>
            </w:pPr>
            <w:r w:rsidRPr="00207240">
              <w:rPr>
                <w:sz w:val="21"/>
                <w:szCs w:val="21"/>
              </w:rPr>
              <w:t>11/13/2013</w:t>
            </w:r>
          </w:p>
          <w:p w14:paraId="76C368F5" w14:textId="77777777" w:rsidR="00207240" w:rsidRPr="00207240" w:rsidRDefault="00207240" w:rsidP="00207240">
            <w:pPr>
              <w:autoSpaceDE w:val="0"/>
              <w:autoSpaceDN w:val="0"/>
              <w:spacing w:before="20" w:after="20"/>
              <w:rPr>
                <w:sz w:val="21"/>
                <w:szCs w:val="21"/>
              </w:rPr>
            </w:pPr>
            <w:r w:rsidRPr="00207240">
              <w:rPr>
                <w:sz w:val="21"/>
                <w:szCs w:val="21"/>
              </w:rPr>
              <w:t>11/7/2012</w:t>
            </w:r>
          </w:p>
          <w:p w14:paraId="419E808E" w14:textId="77777777" w:rsidR="00207240" w:rsidRPr="00207240" w:rsidRDefault="00207240" w:rsidP="00207240">
            <w:pPr>
              <w:autoSpaceDE w:val="0"/>
              <w:autoSpaceDN w:val="0"/>
              <w:spacing w:before="20" w:after="20"/>
              <w:rPr>
                <w:rFonts w:eastAsia="Calibri"/>
                <w:sz w:val="21"/>
                <w:szCs w:val="21"/>
              </w:rPr>
            </w:pPr>
            <w:r w:rsidRPr="00207240">
              <w:rPr>
                <w:sz w:val="21"/>
                <w:szCs w:val="21"/>
              </w:rPr>
              <w:t>11/30/2011</w:t>
            </w:r>
          </w:p>
        </w:tc>
      </w:tr>
      <w:tr w:rsidR="00207240" w:rsidRPr="00207240" w14:paraId="5B70942D" w14:textId="77777777" w:rsidTr="00D0687D">
        <w:trPr>
          <w:trHeight w:val="548"/>
          <w:jc w:val="center"/>
        </w:trPr>
        <w:tc>
          <w:tcPr>
            <w:tcW w:w="1605" w:type="dxa"/>
            <w:vMerge w:val="restart"/>
            <w:tcMar>
              <w:top w:w="0" w:type="dxa"/>
              <w:left w:w="108" w:type="dxa"/>
              <w:bottom w:w="0" w:type="dxa"/>
              <w:right w:w="108" w:type="dxa"/>
            </w:tcMar>
            <w:vAlign w:val="center"/>
          </w:tcPr>
          <w:p w14:paraId="11B1E065" w14:textId="77777777" w:rsidR="00207240" w:rsidRPr="00207240" w:rsidRDefault="00207240" w:rsidP="00207240">
            <w:pPr>
              <w:autoSpaceDE w:val="0"/>
              <w:autoSpaceDN w:val="0"/>
              <w:spacing w:before="20" w:after="20"/>
              <w:rPr>
                <w:sz w:val="21"/>
                <w:szCs w:val="21"/>
              </w:rPr>
            </w:pPr>
            <w:r w:rsidRPr="00207240">
              <w:rPr>
                <w:sz w:val="21"/>
                <w:szCs w:val="21"/>
              </w:rPr>
              <w:t>HOBB-2/DB-2</w:t>
            </w:r>
          </w:p>
        </w:tc>
        <w:tc>
          <w:tcPr>
            <w:tcW w:w="1584" w:type="dxa"/>
            <w:vMerge w:val="restart"/>
            <w:vAlign w:val="center"/>
          </w:tcPr>
          <w:p w14:paraId="6FFA2D2C" w14:textId="77777777" w:rsidR="00207240" w:rsidRPr="00207240" w:rsidRDefault="00207240" w:rsidP="00207240">
            <w:pPr>
              <w:autoSpaceDE w:val="0"/>
              <w:autoSpaceDN w:val="0"/>
              <w:spacing w:before="20" w:after="20"/>
              <w:ind w:left="123"/>
              <w:rPr>
                <w:sz w:val="21"/>
                <w:szCs w:val="21"/>
              </w:rPr>
            </w:pPr>
            <w:r w:rsidRPr="00207240">
              <w:rPr>
                <w:sz w:val="21"/>
                <w:szCs w:val="21"/>
              </w:rPr>
              <w:t>PSD 3449-M2</w:t>
            </w:r>
          </w:p>
        </w:tc>
        <w:tc>
          <w:tcPr>
            <w:tcW w:w="1080" w:type="dxa"/>
            <w:vAlign w:val="center"/>
          </w:tcPr>
          <w:p w14:paraId="6BA3F0CF" w14:textId="77777777" w:rsidR="00207240" w:rsidRPr="00207240" w:rsidRDefault="00207240" w:rsidP="00207240">
            <w:pPr>
              <w:autoSpaceDE w:val="0"/>
              <w:autoSpaceDN w:val="0"/>
              <w:spacing w:before="20" w:after="20"/>
              <w:ind w:left="108"/>
              <w:rPr>
                <w:sz w:val="21"/>
                <w:szCs w:val="21"/>
              </w:rPr>
            </w:pPr>
            <w:r w:rsidRPr="00207240">
              <w:rPr>
                <w:sz w:val="21"/>
                <w:szCs w:val="21"/>
              </w:rPr>
              <w:t>A401A</w:t>
            </w:r>
          </w:p>
        </w:tc>
        <w:tc>
          <w:tcPr>
            <w:tcW w:w="4320" w:type="dxa"/>
            <w:tcMar>
              <w:top w:w="0" w:type="dxa"/>
              <w:left w:w="108" w:type="dxa"/>
              <w:bottom w:w="0" w:type="dxa"/>
              <w:right w:w="108" w:type="dxa"/>
            </w:tcMar>
            <w:vAlign w:val="center"/>
          </w:tcPr>
          <w:p w14:paraId="0B5A30E9" w14:textId="77777777" w:rsidR="00207240" w:rsidRPr="00207240" w:rsidRDefault="00207240" w:rsidP="00207240">
            <w:pPr>
              <w:autoSpaceDE w:val="0"/>
              <w:autoSpaceDN w:val="0"/>
              <w:spacing w:before="20" w:after="20"/>
              <w:rPr>
                <w:sz w:val="21"/>
                <w:szCs w:val="21"/>
              </w:rPr>
            </w:pPr>
            <w:r w:rsidRPr="00207240">
              <w:rPr>
                <w:sz w:val="21"/>
                <w:szCs w:val="21"/>
              </w:rPr>
              <w:t>Initial Compliance for PM/PM10/PM2.5</w:t>
            </w:r>
          </w:p>
        </w:tc>
        <w:tc>
          <w:tcPr>
            <w:tcW w:w="1530" w:type="dxa"/>
            <w:tcMar>
              <w:top w:w="0" w:type="dxa"/>
              <w:left w:w="108" w:type="dxa"/>
              <w:bottom w:w="0" w:type="dxa"/>
              <w:right w:w="108" w:type="dxa"/>
            </w:tcMar>
            <w:vAlign w:val="center"/>
          </w:tcPr>
          <w:p w14:paraId="1E1309ED" w14:textId="77777777" w:rsidR="00207240" w:rsidRPr="00207240" w:rsidRDefault="00207240" w:rsidP="00207240">
            <w:pPr>
              <w:autoSpaceDE w:val="0"/>
              <w:autoSpaceDN w:val="0"/>
              <w:spacing w:before="20" w:after="20"/>
              <w:rPr>
                <w:sz w:val="21"/>
                <w:szCs w:val="21"/>
              </w:rPr>
            </w:pPr>
            <w:r w:rsidRPr="00207240">
              <w:rPr>
                <w:sz w:val="21"/>
                <w:szCs w:val="21"/>
              </w:rPr>
              <w:t>3/11/2015 - 3/12/2015</w:t>
            </w:r>
          </w:p>
        </w:tc>
      </w:tr>
      <w:tr w:rsidR="00207240" w:rsidRPr="00207240" w14:paraId="6F4EE730" w14:textId="77777777" w:rsidTr="00D0687D">
        <w:trPr>
          <w:jc w:val="center"/>
        </w:trPr>
        <w:tc>
          <w:tcPr>
            <w:tcW w:w="1605" w:type="dxa"/>
            <w:vMerge/>
            <w:tcMar>
              <w:top w:w="0" w:type="dxa"/>
              <w:left w:w="108" w:type="dxa"/>
              <w:bottom w:w="0" w:type="dxa"/>
              <w:right w:w="108" w:type="dxa"/>
            </w:tcMar>
            <w:vAlign w:val="center"/>
            <w:hideMark/>
          </w:tcPr>
          <w:p w14:paraId="08F15C57" w14:textId="77777777" w:rsidR="00207240" w:rsidRPr="00207240" w:rsidRDefault="00207240" w:rsidP="00207240">
            <w:pPr>
              <w:autoSpaceDE w:val="0"/>
              <w:autoSpaceDN w:val="0"/>
              <w:spacing w:before="20" w:after="20"/>
              <w:rPr>
                <w:rFonts w:eastAsia="Calibri"/>
                <w:sz w:val="21"/>
                <w:szCs w:val="21"/>
              </w:rPr>
            </w:pPr>
          </w:p>
        </w:tc>
        <w:tc>
          <w:tcPr>
            <w:tcW w:w="1584" w:type="dxa"/>
            <w:vMerge/>
            <w:vAlign w:val="center"/>
          </w:tcPr>
          <w:p w14:paraId="2E702EDA" w14:textId="77777777" w:rsidR="00207240" w:rsidRPr="00207240" w:rsidRDefault="00207240" w:rsidP="00207240">
            <w:pPr>
              <w:autoSpaceDE w:val="0"/>
              <w:autoSpaceDN w:val="0"/>
              <w:spacing w:before="20" w:after="20"/>
              <w:ind w:left="123"/>
              <w:rPr>
                <w:sz w:val="21"/>
                <w:szCs w:val="21"/>
              </w:rPr>
            </w:pPr>
          </w:p>
        </w:tc>
        <w:tc>
          <w:tcPr>
            <w:tcW w:w="1080" w:type="dxa"/>
            <w:vAlign w:val="center"/>
          </w:tcPr>
          <w:p w14:paraId="20C23258" w14:textId="77777777" w:rsidR="00207240" w:rsidRPr="00207240" w:rsidRDefault="00207240" w:rsidP="00207240">
            <w:pPr>
              <w:autoSpaceDE w:val="0"/>
              <w:autoSpaceDN w:val="0"/>
              <w:spacing w:before="20" w:after="20"/>
              <w:ind w:left="108"/>
              <w:rPr>
                <w:sz w:val="21"/>
                <w:szCs w:val="21"/>
              </w:rPr>
            </w:pPr>
            <w:r w:rsidRPr="00207240">
              <w:rPr>
                <w:sz w:val="21"/>
                <w:szCs w:val="21"/>
              </w:rPr>
              <w:t>A401C</w:t>
            </w:r>
          </w:p>
        </w:tc>
        <w:tc>
          <w:tcPr>
            <w:tcW w:w="4320" w:type="dxa"/>
            <w:tcMar>
              <w:top w:w="0" w:type="dxa"/>
              <w:left w:w="108" w:type="dxa"/>
              <w:bottom w:w="0" w:type="dxa"/>
              <w:right w:w="108" w:type="dxa"/>
            </w:tcMar>
            <w:vAlign w:val="center"/>
            <w:hideMark/>
          </w:tcPr>
          <w:p w14:paraId="551228F1" w14:textId="77777777" w:rsidR="00207240" w:rsidRPr="00207240" w:rsidRDefault="00207240" w:rsidP="00207240">
            <w:pPr>
              <w:autoSpaceDE w:val="0"/>
              <w:autoSpaceDN w:val="0"/>
              <w:spacing w:before="20" w:after="20"/>
              <w:rPr>
                <w:rFonts w:eastAsia="Calibri"/>
                <w:sz w:val="21"/>
                <w:szCs w:val="21"/>
              </w:rPr>
            </w:pPr>
            <w:r w:rsidRPr="00207240">
              <w:rPr>
                <w:sz w:val="21"/>
                <w:szCs w:val="21"/>
              </w:rPr>
              <w:t>RATA testing in accordance with EPA test methods for NOx and CO.</w:t>
            </w:r>
          </w:p>
        </w:tc>
        <w:tc>
          <w:tcPr>
            <w:tcW w:w="1530" w:type="dxa"/>
            <w:tcMar>
              <w:top w:w="0" w:type="dxa"/>
              <w:left w:w="108" w:type="dxa"/>
              <w:bottom w:w="0" w:type="dxa"/>
              <w:right w:w="108" w:type="dxa"/>
            </w:tcMar>
            <w:vAlign w:val="center"/>
          </w:tcPr>
          <w:p w14:paraId="34B990A0" w14:textId="77777777" w:rsidR="00207240" w:rsidRPr="00207240" w:rsidRDefault="00207240" w:rsidP="00207240">
            <w:pPr>
              <w:autoSpaceDE w:val="0"/>
              <w:autoSpaceDN w:val="0"/>
              <w:spacing w:before="20" w:after="20"/>
              <w:rPr>
                <w:sz w:val="21"/>
                <w:szCs w:val="21"/>
              </w:rPr>
            </w:pPr>
            <w:r w:rsidRPr="00207240">
              <w:rPr>
                <w:sz w:val="21"/>
                <w:szCs w:val="21"/>
              </w:rPr>
              <w:t>9/23/2015-</w:t>
            </w:r>
          </w:p>
          <w:p w14:paraId="4DEE1341" w14:textId="77777777" w:rsidR="00207240" w:rsidRPr="00207240" w:rsidRDefault="00207240" w:rsidP="00207240">
            <w:pPr>
              <w:autoSpaceDE w:val="0"/>
              <w:autoSpaceDN w:val="0"/>
              <w:spacing w:before="20" w:after="20"/>
              <w:rPr>
                <w:sz w:val="21"/>
                <w:szCs w:val="21"/>
              </w:rPr>
            </w:pPr>
            <w:r w:rsidRPr="00207240">
              <w:rPr>
                <w:sz w:val="21"/>
                <w:szCs w:val="21"/>
              </w:rPr>
              <w:t>9/24/2015</w:t>
            </w:r>
          </w:p>
          <w:p w14:paraId="4165893E" w14:textId="77777777" w:rsidR="00207240" w:rsidRPr="00207240" w:rsidRDefault="00207240" w:rsidP="00207240">
            <w:pPr>
              <w:autoSpaceDE w:val="0"/>
              <w:autoSpaceDN w:val="0"/>
              <w:spacing w:before="20" w:after="20"/>
              <w:rPr>
                <w:sz w:val="21"/>
                <w:szCs w:val="21"/>
              </w:rPr>
            </w:pPr>
            <w:r w:rsidRPr="00207240">
              <w:rPr>
                <w:sz w:val="21"/>
                <w:szCs w:val="21"/>
              </w:rPr>
              <w:t>9/16/2014</w:t>
            </w:r>
          </w:p>
        </w:tc>
      </w:tr>
      <w:tr w:rsidR="00207240" w:rsidRPr="00207240" w14:paraId="12087207" w14:textId="77777777" w:rsidTr="00D0687D">
        <w:trPr>
          <w:jc w:val="center"/>
        </w:trPr>
        <w:tc>
          <w:tcPr>
            <w:tcW w:w="1605" w:type="dxa"/>
            <w:vMerge/>
            <w:tcMar>
              <w:top w:w="0" w:type="dxa"/>
              <w:left w:w="108" w:type="dxa"/>
              <w:bottom w:w="0" w:type="dxa"/>
              <w:right w:w="108" w:type="dxa"/>
            </w:tcMar>
          </w:tcPr>
          <w:p w14:paraId="41080A35" w14:textId="77777777" w:rsidR="00207240" w:rsidRPr="00207240" w:rsidRDefault="00207240" w:rsidP="00207240">
            <w:pPr>
              <w:autoSpaceDE w:val="0"/>
              <w:autoSpaceDN w:val="0"/>
              <w:spacing w:before="20" w:after="20"/>
              <w:rPr>
                <w:rFonts w:eastAsia="Calibri"/>
                <w:sz w:val="21"/>
                <w:szCs w:val="21"/>
              </w:rPr>
            </w:pPr>
          </w:p>
        </w:tc>
        <w:tc>
          <w:tcPr>
            <w:tcW w:w="1584" w:type="dxa"/>
            <w:vMerge/>
          </w:tcPr>
          <w:p w14:paraId="6C7C7123" w14:textId="77777777" w:rsidR="00207240" w:rsidRPr="00207240" w:rsidRDefault="00207240" w:rsidP="00207240">
            <w:pPr>
              <w:autoSpaceDE w:val="0"/>
              <w:autoSpaceDN w:val="0"/>
              <w:spacing w:before="20" w:after="20"/>
              <w:ind w:left="123"/>
              <w:rPr>
                <w:sz w:val="21"/>
                <w:szCs w:val="21"/>
              </w:rPr>
            </w:pPr>
          </w:p>
        </w:tc>
        <w:tc>
          <w:tcPr>
            <w:tcW w:w="1080" w:type="dxa"/>
            <w:vAlign w:val="center"/>
          </w:tcPr>
          <w:p w14:paraId="7D0D3C67" w14:textId="77777777" w:rsidR="00207240" w:rsidRPr="00207240" w:rsidRDefault="00207240" w:rsidP="00207240">
            <w:pPr>
              <w:autoSpaceDE w:val="0"/>
              <w:autoSpaceDN w:val="0"/>
              <w:spacing w:before="20" w:after="20"/>
              <w:ind w:left="108"/>
              <w:rPr>
                <w:sz w:val="21"/>
                <w:szCs w:val="21"/>
              </w:rPr>
            </w:pPr>
            <w:r w:rsidRPr="00207240">
              <w:rPr>
                <w:sz w:val="21"/>
                <w:szCs w:val="21"/>
              </w:rPr>
              <w:t>A401E</w:t>
            </w:r>
          </w:p>
        </w:tc>
        <w:tc>
          <w:tcPr>
            <w:tcW w:w="4320" w:type="dxa"/>
            <w:tcMar>
              <w:top w:w="0" w:type="dxa"/>
              <w:left w:w="108" w:type="dxa"/>
              <w:bottom w:w="0" w:type="dxa"/>
              <w:right w:w="108" w:type="dxa"/>
            </w:tcMar>
            <w:vAlign w:val="center"/>
            <w:hideMark/>
          </w:tcPr>
          <w:p w14:paraId="7FD342CF" w14:textId="77777777" w:rsidR="00207240" w:rsidRPr="00207240" w:rsidRDefault="00207240" w:rsidP="00207240">
            <w:pPr>
              <w:autoSpaceDE w:val="0"/>
              <w:autoSpaceDN w:val="0"/>
              <w:spacing w:before="20" w:after="20"/>
              <w:rPr>
                <w:rFonts w:eastAsia="Calibri"/>
                <w:sz w:val="21"/>
                <w:szCs w:val="21"/>
              </w:rPr>
            </w:pPr>
            <w:r w:rsidRPr="00207240">
              <w:rPr>
                <w:sz w:val="21"/>
                <w:szCs w:val="21"/>
              </w:rPr>
              <w:t>Annual ammonia compliance testing.</w:t>
            </w:r>
          </w:p>
        </w:tc>
        <w:tc>
          <w:tcPr>
            <w:tcW w:w="1530" w:type="dxa"/>
            <w:tcMar>
              <w:top w:w="0" w:type="dxa"/>
              <w:left w:w="108" w:type="dxa"/>
              <w:bottom w:w="0" w:type="dxa"/>
              <w:right w:w="108" w:type="dxa"/>
            </w:tcMar>
            <w:vAlign w:val="center"/>
            <w:hideMark/>
          </w:tcPr>
          <w:p w14:paraId="66B70817" w14:textId="77777777" w:rsidR="00207240" w:rsidRPr="00207240" w:rsidRDefault="00207240" w:rsidP="00207240">
            <w:pPr>
              <w:autoSpaceDE w:val="0"/>
              <w:autoSpaceDN w:val="0"/>
              <w:spacing w:before="20" w:after="20"/>
              <w:rPr>
                <w:sz w:val="21"/>
                <w:szCs w:val="21"/>
              </w:rPr>
            </w:pPr>
            <w:r w:rsidRPr="00207240">
              <w:rPr>
                <w:sz w:val="21"/>
                <w:szCs w:val="21"/>
              </w:rPr>
              <w:t>9/25/2015-</w:t>
            </w:r>
          </w:p>
          <w:p w14:paraId="16BE552A" w14:textId="77777777" w:rsidR="00207240" w:rsidRPr="00207240" w:rsidRDefault="00207240" w:rsidP="00207240">
            <w:pPr>
              <w:autoSpaceDE w:val="0"/>
              <w:autoSpaceDN w:val="0"/>
              <w:spacing w:before="20" w:after="20"/>
              <w:rPr>
                <w:sz w:val="21"/>
                <w:szCs w:val="21"/>
              </w:rPr>
            </w:pPr>
            <w:r w:rsidRPr="00207240">
              <w:rPr>
                <w:sz w:val="21"/>
                <w:szCs w:val="21"/>
              </w:rPr>
              <w:t>9/27/2015</w:t>
            </w:r>
          </w:p>
          <w:p w14:paraId="1ED5FAEF" w14:textId="77777777" w:rsidR="00207240" w:rsidRPr="00207240" w:rsidRDefault="00207240" w:rsidP="00207240">
            <w:pPr>
              <w:autoSpaceDE w:val="0"/>
              <w:autoSpaceDN w:val="0"/>
              <w:spacing w:before="20" w:after="20"/>
              <w:rPr>
                <w:rFonts w:eastAsia="Calibri"/>
                <w:sz w:val="21"/>
                <w:szCs w:val="21"/>
              </w:rPr>
            </w:pPr>
            <w:r w:rsidRPr="00207240">
              <w:rPr>
                <w:sz w:val="21"/>
                <w:szCs w:val="21"/>
              </w:rPr>
              <w:t>9/16/2014</w:t>
            </w:r>
          </w:p>
        </w:tc>
      </w:tr>
      <w:tr w:rsidR="00207240" w:rsidRPr="00207240" w14:paraId="41F1A691" w14:textId="77777777" w:rsidTr="00D0687D">
        <w:trPr>
          <w:jc w:val="center"/>
        </w:trPr>
        <w:tc>
          <w:tcPr>
            <w:tcW w:w="1605" w:type="dxa"/>
            <w:vMerge/>
            <w:tcMar>
              <w:top w:w="0" w:type="dxa"/>
              <w:left w:w="108" w:type="dxa"/>
              <w:bottom w:w="0" w:type="dxa"/>
              <w:right w:w="108" w:type="dxa"/>
            </w:tcMar>
          </w:tcPr>
          <w:p w14:paraId="690B29CB" w14:textId="77777777" w:rsidR="00207240" w:rsidRPr="00207240" w:rsidRDefault="00207240" w:rsidP="00207240">
            <w:pPr>
              <w:autoSpaceDE w:val="0"/>
              <w:autoSpaceDN w:val="0"/>
              <w:spacing w:before="20" w:after="20"/>
              <w:rPr>
                <w:rFonts w:eastAsia="Calibri"/>
                <w:sz w:val="21"/>
                <w:szCs w:val="21"/>
              </w:rPr>
            </w:pPr>
          </w:p>
        </w:tc>
        <w:tc>
          <w:tcPr>
            <w:tcW w:w="1584" w:type="dxa"/>
            <w:vMerge w:val="restart"/>
            <w:vAlign w:val="center"/>
          </w:tcPr>
          <w:p w14:paraId="6C4F33E0" w14:textId="77777777" w:rsidR="00207240" w:rsidRPr="00207240" w:rsidRDefault="00207240" w:rsidP="00207240">
            <w:pPr>
              <w:autoSpaceDE w:val="0"/>
              <w:autoSpaceDN w:val="0"/>
              <w:spacing w:before="20" w:after="20"/>
              <w:ind w:left="123"/>
              <w:rPr>
                <w:sz w:val="21"/>
                <w:szCs w:val="21"/>
              </w:rPr>
            </w:pPr>
            <w:r w:rsidRPr="00207240">
              <w:rPr>
                <w:sz w:val="21"/>
                <w:szCs w:val="21"/>
              </w:rPr>
              <w:t>PSD 3449-M1</w:t>
            </w:r>
          </w:p>
        </w:tc>
        <w:tc>
          <w:tcPr>
            <w:tcW w:w="1080" w:type="dxa"/>
            <w:vAlign w:val="center"/>
          </w:tcPr>
          <w:p w14:paraId="3585FE21" w14:textId="77777777" w:rsidR="00207240" w:rsidRPr="00207240" w:rsidRDefault="00207240" w:rsidP="00207240">
            <w:pPr>
              <w:autoSpaceDE w:val="0"/>
              <w:autoSpaceDN w:val="0"/>
              <w:spacing w:before="20" w:after="20"/>
              <w:ind w:left="108"/>
              <w:rPr>
                <w:sz w:val="21"/>
                <w:szCs w:val="21"/>
              </w:rPr>
            </w:pPr>
            <w:r w:rsidRPr="00207240">
              <w:rPr>
                <w:sz w:val="21"/>
                <w:szCs w:val="21"/>
              </w:rPr>
              <w:t>A401C</w:t>
            </w:r>
          </w:p>
        </w:tc>
        <w:tc>
          <w:tcPr>
            <w:tcW w:w="4320" w:type="dxa"/>
            <w:tcMar>
              <w:top w:w="0" w:type="dxa"/>
              <w:left w:w="108" w:type="dxa"/>
              <w:bottom w:w="0" w:type="dxa"/>
              <w:right w:w="108" w:type="dxa"/>
            </w:tcMar>
            <w:vAlign w:val="center"/>
            <w:hideMark/>
          </w:tcPr>
          <w:p w14:paraId="7073053D" w14:textId="77777777" w:rsidR="00207240" w:rsidRPr="00207240" w:rsidRDefault="00207240" w:rsidP="00207240">
            <w:pPr>
              <w:autoSpaceDE w:val="0"/>
              <w:autoSpaceDN w:val="0"/>
              <w:spacing w:before="20" w:after="20"/>
              <w:rPr>
                <w:rFonts w:eastAsia="Calibri"/>
                <w:sz w:val="21"/>
                <w:szCs w:val="21"/>
              </w:rPr>
            </w:pPr>
            <w:r w:rsidRPr="00207240">
              <w:rPr>
                <w:sz w:val="21"/>
                <w:szCs w:val="21"/>
              </w:rPr>
              <w:t>RATA testing in accordance with EPA test methods for NOx and CO.</w:t>
            </w:r>
          </w:p>
        </w:tc>
        <w:tc>
          <w:tcPr>
            <w:tcW w:w="1530" w:type="dxa"/>
            <w:tcMar>
              <w:top w:w="0" w:type="dxa"/>
              <w:left w:w="108" w:type="dxa"/>
              <w:bottom w:w="0" w:type="dxa"/>
              <w:right w:w="108" w:type="dxa"/>
            </w:tcMar>
            <w:vAlign w:val="center"/>
          </w:tcPr>
          <w:p w14:paraId="079CD96B" w14:textId="77777777" w:rsidR="00207240" w:rsidRPr="00207240" w:rsidRDefault="00207240" w:rsidP="00207240">
            <w:pPr>
              <w:autoSpaceDE w:val="0"/>
              <w:autoSpaceDN w:val="0"/>
              <w:spacing w:before="20" w:after="20"/>
              <w:rPr>
                <w:sz w:val="21"/>
                <w:szCs w:val="21"/>
              </w:rPr>
            </w:pPr>
            <w:r w:rsidRPr="00207240">
              <w:rPr>
                <w:sz w:val="21"/>
                <w:szCs w:val="21"/>
              </w:rPr>
              <w:t>11/14/2013</w:t>
            </w:r>
          </w:p>
          <w:p w14:paraId="274D92D9" w14:textId="77777777" w:rsidR="00207240" w:rsidRPr="00207240" w:rsidRDefault="00207240" w:rsidP="00207240">
            <w:pPr>
              <w:autoSpaceDE w:val="0"/>
              <w:autoSpaceDN w:val="0"/>
              <w:spacing w:before="20" w:after="20"/>
              <w:rPr>
                <w:rFonts w:eastAsia="Calibri"/>
                <w:sz w:val="21"/>
                <w:szCs w:val="21"/>
              </w:rPr>
            </w:pPr>
            <w:r w:rsidRPr="00207240">
              <w:rPr>
                <w:sz w:val="21"/>
                <w:szCs w:val="21"/>
              </w:rPr>
              <w:t>11/8/2012</w:t>
            </w:r>
          </w:p>
          <w:p w14:paraId="6607526A" w14:textId="77777777" w:rsidR="00207240" w:rsidRPr="00207240" w:rsidRDefault="00207240" w:rsidP="00207240">
            <w:pPr>
              <w:autoSpaceDE w:val="0"/>
              <w:autoSpaceDN w:val="0"/>
              <w:spacing w:before="20" w:after="20"/>
              <w:rPr>
                <w:rFonts w:eastAsia="Calibri"/>
                <w:sz w:val="21"/>
                <w:szCs w:val="21"/>
              </w:rPr>
            </w:pPr>
            <w:r w:rsidRPr="00207240">
              <w:rPr>
                <w:sz w:val="21"/>
                <w:szCs w:val="21"/>
              </w:rPr>
              <w:t>12/1/2011</w:t>
            </w:r>
          </w:p>
        </w:tc>
      </w:tr>
      <w:tr w:rsidR="00207240" w:rsidRPr="00207240" w14:paraId="60AC9A5E" w14:textId="77777777" w:rsidTr="00D0687D">
        <w:trPr>
          <w:jc w:val="center"/>
        </w:trPr>
        <w:tc>
          <w:tcPr>
            <w:tcW w:w="1605" w:type="dxa"/>
            <w:vMerge/>
            <w:tcMar>
              <w:top w:w="0" w:type="dxa"/>
              <w:left w:w="108" w:type="dxa"/>
              <w:bottom w:w="0" w:type="dxa"/>
              <w:right w:w="108" w:type="dxa"/>
            </w:tcMar>
          </w:tcPr>
          <w:p w14:paraId="6E8FDE64" w14:textId="77777777" w:rsidR="00207240" w:rsidRPr="00207240" w:rsidRDefault="00207240" w:rsidP="00207240">
            <w:pPr>
              <w:autoSpaceDE w:val="0"/>
              <w:autoSpaceDN w:val="0"/>
              <w:spacing w:before="20" w:after="20"/>
              <w:rPr>
                <w:rFonts w:eastAsia="Calibri"/>
                <w:sz w:val="21"/>
                <w:szCs w:val="21"/>
              </w:rPr>
            </w:pPr>
          </w:p>
        </w:tc>
        <w:tc>
          <w:tcPr>
            <w:tcW w:w="1584" w:type="dxa"/>
            <w:vMerge/>
          </w:tcPr>
          <w:p w14:paraId="20539ABD" w14:textId="77777777" w:rsidR="00207240" w:rsidRPr="00207240" w:rsidRDefault="00207240" w:rsidP="00207240">
            <w:pPr>
              <w:autoSpaceDE w:val="0"/>
              <w:autoSpaceDN w:val="0"/>
              <w:spacing w:before="20" w:after="20"/>
              <w:ind w:left="123"/>
              <w:rPr>
                <w:sz w:val="21"/>
                <w:szCs w:val="21"/>
              </w:rPr>
            </w:pPr>
          </w:p>
        </w:tc>
        <w:tc>
          <w:tcPr>
            <w:tcW w:w="1080" w:type="dxa"/>
            <w:vAlign w:val="center"/>
          </w:tcPr>
          <w:p w14:paraId="42641A9A" w14:textId="77777777" w:rsidR="00207240" w:rsidRPr="00207240" w:rsidRDefault="00207240" w:rsidP="00207240">
            <w:pPr>
              <w:autoSpaceDE w:val="0"/>
              <w:autoSpaceDN w:val="0"/>
              <w:spacing w:before="20" w:after="20"/>
              <w:ind w:left="108"/>
              <w:rPr>
                <w:sz w:val="21"/>
                <w:szCs w:val="21"/>
              </w:rPr>
            </w:pPr>
            <w:r w:rsidRPr="00207240">
              <w:rPr>
                <w:sz w:val="21"/>
                <w:szCs w:val="21"/>
              </w:rPr>
              <w:t>A401A</w:t>
            </w:r>
          </w:p>
        </w:tc>
        <w:tc>
          <w:tcPr>
            <w:tcW w:w="4320" w:type="dxa"/>
            <w:tcMar>
              <w:top w:w="0" w:type="dxa"/>
              <w:left w:w="108" w:type="dxa"/>
              <w:bottom w:w="0" w:type="dxa"/>
              <w:right w:w="108" w:type="dxa"/>
            </w:tcMar>
            <w:vAlign w:val="center"/>
            <w:hideMark/>
          </w:tcPr>
          <w:p w14:paraId="155D6CE6" w14:textId="77777777" w:rsidR="00207240" w:rsidRPr="00207240" w:rsidRDefault="00207240" w:rsidP="00207240">
            <w:pPr>
              <w:autoSpaceDE w:val="0"/>
              <w:autoSpaceDN w:val="0"/>
              <w:spacing w:before="20" w:after="20"/>
              <w:rPr>
                <w:rFonts w:eastAsia="Calibri"/>
                <w:sz w:val="21"/>
                <w:szCs w:val="21"/>
              </w:rPr>
            </w:pPr>
            <w:r w:rsidRPr="00207240">
              <w:rPr>
                <w:sz w:val="21"/>
                <w:szCs w:val="21"/>
              </w:rPr>
              <w:t>Annual stack testing for NOx and CO.</w:t>
            </w:r>
          </w:p>
        </w:tc>
        <w:tc>
          <w:tcPr>
            <w:tcW w:w="1530" w:type="dxa"/>
            <w:tcMar>
              <w:top w:w="0" w:type="dxa"/>
              <w:left w:w="108" w:type="dxa"/>
              <w:bottom w:w="0" w:type="dxa"/>
              <w:right w:w="108" w:type="dxa"/>
            </w:tcMar>
            <w:vAlign w:val="center"/>
            <w:hideMark/>
          </w:tcPr>
          <w:p w14:paraId="3C277D0F" w14:textId="77777777" w:rsidR="00207240" w:rsidRPr="00207240" w:rsidRDefault="00207240" w:rsidP="00207240">
            <w:pPr>
              <w:autoSpaceDE w:val="0"/>
              <w:autoSpaceDN w:val="0"/>
              <w:spacing w:before="20" w:after="20"/>
              <w:rPr>
                <w:sz w:val="21"/>
                <w:szCs w:val="21"/>
              </w:rPr>
            </w:pPr>
            <w:r w:rsidRPr="00207240">
              <w:rPr>
                <w:sz w:val="21"/>
                <w:szCs w:val="21"/>
              </w:rPr>
              <w:t>11/14/2013</w:t>
            </w:r>
          </w:p>
          <w:p w14:paraId="51F5898E" w14:textId="77777777" w:rsidR="00207240" w:rsidRPr="00207240" w:rsidRDefault="00207240" w:rsidP="00207240">
            <w:pPr>
              <w:autoSpaceDE w:val="0"/>
              <w:autoSpaceDN w:val="0"/>
              <w:spacing w:before="20" w:after="20"/>
              <w:rPr>
                <w:sz w:val="21"/>
                <w:szCs w:val="21"/>
              </w:rPr>
            </w:pPr>
            <w:r w:rsidRPr="00207240">
              <w:rPr>
                <w:sz w:val="21"/>
                <w:szCs w:val="21"/>
              </w:rPr>
              <w:t>11/8/2012</w:t>
            </w:r>
          </w:p>
          <w:p w14:paraId="53AAF602" w14:textId="77777777" w:rsidR="00207240" w:rsidRPr="00207240" w:rsidRDefault="00207240" w:rsidP="00207240">
            <w:pPr>
              <w:autoSpaceDE w:val="0"/>
              <w:autoSpaceDN w:val="0"/>
              <w:spacing w:before="20" w:after="20"/>
              <w:rPr>
                <w:rFonts w:eastAsia="Calibri"/>
                <w:sz w:val="21"/>
                <w:szCs w:val="21"/>
              </w:rPr>
            </w:pPr>
            <w:r w:rsidRPr="00207240">
              <w:rPr>
                <w:sz w:val="21"/>
                <w:szCs w:val="21"/>
              </w:rPr>
              <w:t>12/1/2011</w:t>
            </w:r>
          </w:p>
        </w:tc>
      </w:tr>
      <w:tr w:rsidR="00207240" w:rsidRPr="00207240" w14:paraId="0FAD1CAE" w14:textId="77777777" w:rsidTr="00D0687D">
        <w:trPr>
          <w:jc w:val="center"/>
        </w:trPr>
        <w:tc>
          <w:tcPr>
            <w:tcW w:w="1605" w:type="dxa"/>
            <w:vMerge/>
            <w:tcMar>
              <w:top w:w="0" w:type="dxa"/>
              <w:left w:w="108" w:type="dxa"/>
              <w:bottom w:w="0" w:type="dxa"/>
              <w:right w:w="108" w:type="dxa"/>
            </w:tcMar>
          </w:tcPr>
          <w:p w14:paraId="58AAFAB6" w14:textId="77777777" w:rsidR="00207240" w:rsidRPr="00207240" w:rsidRDefault="00207240" w:rsidP="00207240">
            <w:pPr>
              <w:autoSpaceDE w:val="0"/>
              <w:autoSpaceDN w:val="0"/>
              <w:spacing w:before="20" w:after="20"/>
              <w:rPr>
                <w:rFonts w:eastAsia="Calibri"/>
                <w:sz w:val="21"/>
                <w:szCs w:val="21"/>
              </w:rPr>
            </w:pPr>
          </w:p>
        </w:tc>
        <w:tc>
          <w:tcPr>
            <w:tcW w:w="1584" w:type="dxa"/>
            <w:vMerge/>
          </w:tcPr>
          <w:p w14:paraId="32610DE8" w14:textId="77777777" w:rsidR="00207240" w:rsidRPr="00207240" w:rsidRDefault="00207240" w:rsidP="00207240">
            <w:pPr>
              <w:autoSpaceDE w:val="0"/>
              <w:autoSpaceDN w:val="0"/>
              <w:spacing w:before="20" w:after="20"/>
              <w:ind w:left="123"/>
              <w:rPr>
                <w:sz w:val="21"/>
                <w:szCs w:val="21"/>
              </w:rPr>
            </w:pPr>
          </w:p>
        </w:tc>
        <w:tc>
          <w:tcPr>
            <w:tcW w:w="1080" w:type="dxa"/>
            <w:vAlign w:val="center"/>
          </w:tcPr>
          <w:p w14:paraId="505F4570" w14:textId="77777777" w:rsidR="00207240" w:rsidRPr="00207240" w:rsidRDefault="00207240" w:rsidP="00207240">
            <w:pPr>
              <w:autoSpaceDE w:val="0"/>
              <w:autoSpaceDN w:val="0"/>
              <w:spacing w:before="20" w:after="20"/>
              <w:ind w:left="108"/>
              <w:rPr>
                <w:sz w:val="21"/>
                <w:szCs w:val="21"/>
              </w:rPr>
            </w:pPr>
            <w:r w:rsidRPr="00207240">
              <w:rPr>
                <w:sz w:val="21"/>
                <w:szCs w:val="21"/>
              </w:rPr>
              <w:t>A401E</w:t>
            </w:r>
          </w:p>
        </w:tc>
        <w:tc>
          <w:tcPr>
            <w:tcW w:w="4320" w:type="dxa"/>
            <w:tcMar>
              <w:top w:w="0" w:type="dxa"/>
              <w:left w:w="108" w:type="dxa"/>
              <w:bottom w:w="0" w:type="dxa"/>
              <w:right w:w="108" w:type="dxa"/>
            </w:tcMar>
            <w:vAlign w:val="center"/>
            <w:hideMark/>
          </w:tcPr>
          <w:p w14:paraId="71F7B074" w14:textId="77777777" w:rsidR="00207240" w:rsidRPr="00207240" w:rsidRDefault="00207240" w:rsidP="00207240">
            <w:pPr>
              <w:autoSpaceDE w:val="0"/>
              <w:autoSpaceDN w:val="0"/>
              <w:spacing w:before="20" w:after="20"/>
              <w:rPr>
                <w:rFonts w:eastAsia="Calibri"/>
                <w:sz w:val="21"/>
                <w:szCs w:val="21"/>
              </w:rPr>
            </w:pPr>
            <w:r w:rsidRPr="00207240">
              <w:rPr>
                <w:sz w:val="21"/>
                <w:szCs w:val="21"/>
              </w:rPr>
              <w:t>Annual ammonia compliance testing.</w:t>
            </w:r>
          </w:p>
        </w:tc>
        <w:tc>
          <w:tcPr>
            <w:tcW w:w="1530" w:type="dxa"/>
            <w:tcMar>
              <w:top w:w="0" w:type="dxa"/>
              <w:left w:w="108" w:type="dxa"/>
              <w:bottom w:w="0" w:type="dxa"/>
              <w:right w:w="108" w:type="dxa"/>
            </w:tcMar>
            <w:vAlign w:val="center"/>
            <w:hideMark/>
          </w:tcPr>
          <w:p w14:paraId="46393904" w14:textId="77777777" w:rsidR="00207240" w:rsidRPr="00207240" w:rsidRDefault="00207240" w:rsidP="00207240">
            <w:pPr>
              <w:autoSpaceDE w:val="0"/>
              <w:autoSpaceDN w:val="0"/>
              <w:spacing w:before="20" w:after="20"/>
              <w:rPr>
                <w:sz w:val="21"/>
                <w:szCs w:val="21"/>
              </w:rPr>
            </w:pPr>
            <w:r w:rsidRPr="00207240">
              <w:rPr>
                <w:sz w:val="21"/>
                <w:szCs w:val="21"/>
              </w:rPr>
              <w:t>11/14/2013</w:t>
            </w:r>
          </w:p>
          <w:p w14:paraId="1C4D376E" w14:textId="77777777" w:rsidR="00207240" w:rsidRPr="00207240" w:rsidRDefault="00207240" w:rsidP="00207240">
            <w:pPr>
              <w:autoSpaceDE w:val="0"/>
              <w:autoSpaceDN w:val="0"/>
              <w:spacing w:before="20" w:after="20"/>
              <w:rPr>
                <w:sz w:val="21"/>
                <w:szCs w:val="21"/>
              </w:rPr>
            </w:pPr>
            <w:r w:rsidRPr="00207240">
              <w:rPr>
                <w:sz w:val="21"/>
                <w:szCs w:val="21"/>
              </w:rPr>
              <w:t>11/8/2012</w:t>
            </w:r>
          </w:p>
          <w:p w14:paraId="59543CCB" w14:textId="77777777" w:rsidR="00207240" w:rsidRPr="00207240" w:rsidRDefault="00207240" w:rsidP="00207240">
            <w:pPr>
              <w:autoSpaceDE w:val="0"/>
              <w:autoSpaceDN w:val="0"/>
              <w:spacing w:before="20" w:after="20"/>
              <w:rPr>
                <w:rFonts w:eastAsia="Calibri"/>
                <w:sz w:val="21"/>
                <w:szCs w:val="21"/>
              </w:rPr>
            </w:pPr>
            <w:r w:rsidRPr="00207240">
              <w:rPr>
                <w:sz w:val="21"/>
                <w:szCs w:val="21"/>
              </w:rPr>
              <w:t>12/1/2011</w:t>
            </w:r>
          </w:p>
        </w:tc>
      </w:tr>
      <w:tr w:rsidR="00207240" w:rsidRPr="00207240" w14:paraId="297641A3" w14:textId="77777777" w:rsidTr="00D0687D">
        <w:trPr>
          <w:jc w:val="center"/>
        </w:trPr>
        <w:tc>
          <w:tcPr>
            <w:tcW w:w="1605" w:type="dxa"/>
            <w:tcMar>
              <w:top w:w="0" w:type="dxa"/>
              <w:left w:w="108" w:type="dxa"/>
              <w:bottom w:w="0" w:type="dxa"/>
              <w:right w:w="108" w:type="dxa"/>
            </w:tcMar>
            <w:vAlign w:val="center"/>
          </w:tcPr>
          <w:p w14:paraId="7F31E605" w14:textId="77777777" w:rsidR="00207240" w:rsidRPr="00207240" w:rsidRDefault="00207240" w:rsidP="00207240">
            <w:pPr>
              <w:autoSpaceDE w:val="0"/>
              <w:autoSpaceDN w:val="0"/>
              <w:spacing w:before="20" w:after="20"/>
              <w:rPr>
                <w:sz w:val="21"/>
                <w:szCs w:val="21"/>
              </w:rPr>
            </w:pPr>
            <w:r w:rsidRPr="00207240">
              <w:rPr>
                <w:sz w:val="21"/>
                <w:szCs w:val="21"/>
              </w:rPr>
              <w:t>HOBB1</w:t>
            </w:r>
          </w:p>
        </w:tc>
        <w:tc>
          <w:tcPr>
            <w:tcW w:w="1584" w:type="dxa"/>
            <w:vAlign w:val="center"/>
          </w:tcPr>
          <w:p w14:paraId="38525177" w14:textId="77777777" w:rsidR="00207240" w:rsidRPr="00207240" w:rsidRDefault="00207240" w:rsidP="00207240">
            <w:pPr>
              <w:autoSpaceDE w:val="0"/>
              <w:autoSpaceDN w:val="0"/>
              <w:spacing w:before="20" w:after="20"/>
              <w:ind w:left="123"/>
              <w:rPr>
                <w:sz w:val="21"/>
                <w:szCs w:val="21"/>
              </w:rPr>
            </w:pPr>
            <w:r w:rsidRPr="00207240">
              <w:rPr>
                <w:sz w:val="21"/>
                <w:szCs w:val="21"/>
              </w:rPr>
              <w:t>PSD 3449-M2</w:t>
            </w:r>
          </w:p>
        </w:tc>
        <w:tc>
          <w:tcPr>
            <w:tcW w:w="1080" w:type="dxa"/>
            <w:vAlign w:val="center"/>
          </w:tcPr>
          <w:p w14:paraId="490C219D" w14:textId="77777777" w:rsidR="00207240" w:rsidRPr="00207240" w:rsidRDefault="00207240" w:rsidP="00207240">
            <w:pPr>
              <w:autoSpaceDE w:val="0"/>
              <w:autoSpaceDN w:val="0"/>
              <w:spacing w:before="20" w:after="20"/>
              <w:ind w:left="108"/>
              <w:rPr>
                <w:sz w:val="21"/>
                <w:szCs w:val="21"/>
              </w:rPr>
            </w:pPr>
            <w:r w:rsidRPr="00207240">
              <w:rPr>
                <w:sz w:val="21"/>
                <w:szCs w:val="21"/>
              </w:rPr>
              <w:t>A401A</w:t>
            </w:r>
          </w:p>
        </w:tc>
        <w:tc>
          <w:tcPr>
            <w:tcW w:w="4320" w:type="dxa"/>
            <w:tcMar>
              <w:top w:w="0" w:type="dxa"/>
              <w:left w:w="108" w:type="dxa"/>
              <w:bottom w:w="0" w:type="dxa"/>
              <w:right w:w="108" w:type="dxa"/>
            </w:tcMar>
            <w:vAlign w:val="center"/>
          </w:tcPr>
          <w:p w14:paraId="717266A3" w14:textId="77777777" w:rsidR="00207240" w:rsidRPr="00207240" w:rsidRDefault="00207240" w:rsidP="00207240">
            <w:pPr>
              <w:autoSpaceDE w:val="0"/>
              <w:autoSpaceDN w:val="0"/>
              <w:spacing w:before="20" w:after="20"/>
              <w:rPr>
                <w:sz w:val="21"/>
                <w:szCs w:val="21"/>
              </w:rPr>
            </w:pPr>
          </w:p>
          <w:p w14:paraId="4CD87CEA" w14:textId="77777777" w:rsidR="00207240" w:rsidRPr="00207240" w:rsidRDefault="00207240" w:rsidP="00207240">
            <w:pPr>
              <w:autoSpaceDE w:val="0"/>
              <w:autoSpaceDN w:val="0"/>
              <w:spacing w:before="20" w:after="20"/>
              <w:rPr>
                <w:sz w:val="21"/>
                <w:szCs w:val="21"/>
              </w:rPr>
            </w:pPr>
            <w:r w:rsidRPr="00207240">
              <w:rPr>
                <w:sz w:val="21"/>
                <w:szCs w:val="21"/>
              </w:rPr>
              <w:t>Initial Compliance for PM/PM10/PM2.5</w:t>
            </w:r>
          </w:p>
          <w:p w14:paraId="283D0708" w14:textId="77777777" w:rsidR="00207240" w:rsidRPr="00207240" w:rsidRDefault="00207240" w:rsidP="00207240">
            <w:pPr>
              <w:autoSpaceDE w:val="0"/>
              <w:autoSpaceDN w:val="0"/>
              <w:spacing w:before="20" w:after="20"/>
              <w:rPr>
                <w:sz w:val="21"/>
                <w:szCs w:val="21"/>
              </w:rPr>
            </w:pPr>
          </w:p>
        </w:tc>
        <w:tc>
          <w:tcPr>
            <w:tcW w:w="1530" w:type="dxa"/>
            <w:tcMar>
              <w:top w:w="0" w:type="dxa"/>
              <w:left w:w="108" w:type="dxa"/>
              <w:bottom w:w="0" w:type="dxa"/>
              <w:right w:w="108" w:type="dxa"/>
            </w:tcMar>
            <w:vAlign w:val="center"/>
          </w:tcPr>
          <w:p w14:paraId="48439892" w14:textId="77777777" w:rsidR="00207240" w:rsidRPr="00207240" w:rsidRDefault="00207240" w:rsidP="00207240">
            <w:pPr>
              <w:autoSpaceDE w:val="0"/>
              <w:autoSpaceDN w:val="0"/>
              <w:spacing w:before="20" w:after="20"/>
              <w:rPr>
                <w:sz w:val="21"/>
                <w:szCs w:val="21"/>
              </w:rPr>
            </w:pPr>
            <w:r w:rsidRPr="00207240">
              <w:rPr>
                <w:sz w:val="21"/>
                <w:szCs w:val="21"/>
              </w:rPr>
              <w:t>9/29/2015-</w:t>
            </w:r>
          </w:p>
          <w:p w14:paraId="6440EAA2" w14:textId="77777777" w:rsidR="00207240" w:rsidRPr="00207240" w:rsidRDefault="00207240" w:rsidP="00207240">
            <w:pPr>
              <w:autoSpaceDE w:val="0"/>
              <w:autoSpaceDN w:val="0"/>
              <w:spacing w:before="20" w:after="20"/>
              <w:rPr>
                <w:sz w:val="21"/>
                <w:szCs w:val="21"/>
              </w:rPr>
            </w:pPr>
            <w:r w:rsidRPr="00207240">
              <w:rPr>
                <w:sz w:val="21"/>
                <w:szCs w:val="21"/>
              </w:rPr>
              <w:t>10/1/2015</w:t>
            </w:r>
          </w:p>
        </w:tc>
      </w:tr>
      <w:tr w:rsidR="00207240" w:rsidRPr="00207240" w14:paraId="7F227E09" w14:textId="77777777" w:rsidTr="00D0687D">
        <w:trPr>
          <w:jc w:val="center"/>
        </w:trPr>
        <w:tc>
          <w:tcPr>
            <w:tcW w:w="1605" w:type="dxa"/>
            <w:tcMar>
              <w:top w:w="0" w:type="dxa"/>
              <w:left w:w="108" w:type="dxa"/>
              <w:bottom w:w="0" w:type="dxa"/>
              <w:right w:w="108" w:type="dxa"/>
            </w:tcMar>
            <w:vAlign w:val="center"/>
          </w:tcPr>
          <w:p w14:paraId="38C0DC90" w14:textId="77777777" w:rsidR="00207240" w:rsidRPr="00207240" w:rsidRDefault="00207240" w:rsidP="00207240">
            <w:pPr>
              <w:autoSpaceDE w:val="0"/>
              <w:autoSpaceDN w:val="0"/>
              <w:spacing w:before="20" w:after="20"/>
              <w:rPr>
                <w:sz w:val="21"/>
                <w:szCs w:val="21"/>
              </w:rPr>
            </w:pPr>
            <w:r w:rsidRPr="00207240">
              <w:rPr>
                <w:sz w:val="21"/>
                <w:szCs w:val="21"/>
              </w:rPr>
              <w:t>HOBB2</w:t>
            </w:r>
          </w:p>
        </w:tc>
        <w:tc>
          <w:tcPr>
            <w:tcW w:w="1584" w:type="dxa"/>
            <w:vAlign w:val="center"/>
          </w:tcPr>
          <w:p w14:paraId="59DA4BB0" w14:textId="77777777" w:rsidR="00207240" w:rsidRPr="00207240" w:rsidRDefault="00207240" w:rsidP="00207240">
            <w:pPr>
              <w:autoSpaceDE w:val="0"/>
              <w:autoSpaceDN w:val="0"/>
              <w:spacing w:before="20" w:after="20"/>
              <w:ind w:left="123"/>
              <w:rPr>
                <w:sz w:val="21"/>
                <w:szCs w:val="21"/>
              </w:rPr>
            </w:pPr>
            <w:r w:rsidRPr="00207240">
              <w:rPr>
                <w:sz w:val="21"/>
                <w:szCs w:val="21"/>
              </w:rPr>
              <w:t>PSD 3449-M2</w:t>
            </w:r>
          </w:p>
        </w:tc>
        <w:tc>
          <w:tcPr>
            <w:tcW w:w="1080" w:type="dxa"/>
            <w:vAlign w:val="center"/>
          </w:tcPr>
          <w:p w14:paraId="269694CD" w14:textId="77777777" w:rsidR="00207240" w:rsidRPr="00207240" w:rsidRDefault="00207240" w:rsidP="00207240">
            <w:pPr>
              <w:autoSpaceDE w:val="0"/>
              <w:autoSpaceDN w:val="0"/>
              <w:spacing w:before="20" w:after="20"/>
              <w:ind w:left="108"/>
              <w:rPr>
                <w:sz w:val="21"/>
                <w:szCs w:val="21"/>
              </w:rPr>
            </w:pPr>
            <w:r w:rsidRPr="00207240">
              <w:rPr>
                <w:sz w:val="21"/>
                <w:szCs w:val="21"/>
              </w:rPr>
              <w:t>A401A</w:t>
            </w:r>
          </w:p>
        </w:tc>
        <w:tc>
          <w:tcPr>
            <w:tcW w:w="4320" w:type="dxa"/>
            <w:tcMar>
              <w:top w:w="0" w:type="dxa"/>
              <w:left w:w="108" w:type="dxa"/>
              <w:bottom w:w="0" w:type="dxa"/>
              <w:right w:w="108" w:type="dxa"/>
            </w:tcMar>
            <w:vAlign w:val="center"/>
          </w:tcPr>
          <w:p w14:paraId="79D74B98" w14:textId="77777777" w:rsidR="00207240" w:rsidRPr="00207240" w:rsidRDefault="00207240" w:rsidP="00207240">
            <w:pPr>
              <w:autoSpaceDE w:val="0"/>
              <w:autoSpaceDN w:val="0"/>
              <w:spacing w:before="20" w:after="20"/>
              <w:rPr>
                <w:sz w:val="21"/>
                <w:szCs w:val="21"/>
              </w:rPr>
            </w:pPr>
            <w:r w:rsidRPr="00207240">
              <w:rPr>
                <w:sz w:val="21"/>
                <w:szCs w:val="21"/>
              </w:rPr>
              <w:t>Initial Compliance for PM/PM10/PM2.5</w:t>
            </w:r>
          </w:p>
        </w:tc>
        <w:tc>
          <w:tcPr>
            <w:tcW w:w="1530" w:type="dxa"/>
            <w:tcMar>
              <w:top w:w="0" w:type="dxa"/>
              <w:left w:w="108" w:type="dxa"/>
              <w:bottom w:w="0" w:type="dxa"/>
              <w:right w:w="108" w:type="dxa"/>
            </w:tcMar>
            <w:vAlign w:val="center"/>
          </w:tcPr>
          <w:p w14:paraId="537BFF3A" w14:textId="77777777" w:rsidR="00207240" w:rsidRPr="00207240" w:rsidRDefault="00207240" w:rsidP="00207240">
            <w:pPr>
              <w:autoSpaceDE w:val="0"/>
              <w:autoSpaceDN w:val="0"/>
              <w:spacing w:before="20" w:after="20"/>
              <w:rPr>
                <w:sz w:val="21"/>
                <w:szCs w:val="21"/>
              </w:rPr>
            </w:pPr>
            <w:r w:rsidRPr="00207240">
              <w:rPr>
                <w:sz w:val="21"/>
                <w:szCs w:val="21"/>
              </w:rPr>
              <w:t>9/29/2015-</w:t>
            </w:r>
          </w:p>
          <w:p w14:paraId="56FB3B65" w14:textId="77777777" w:rsidR="00207240" w:rsidRPr="00207240" w:rsidRDefault="00207240" w:rsidP="00207240">
            <w:pPr>
              <w:autoSpaceDE w:val="0"/>
              <w:autoSpaceDN w:val="0"/>
              <w:spacing w:before="20" w:after="20"/>
              <w:rPr>
                <w:sz w:val="21"/>
                <w:szCs w:val="21"/>
              </w:rPr>
            </w:pPr>
            <w:r w:rsidRPr="00207240">
              <w:rPr>
                <w:sz w:val="21"/>
                <w:szCs w:val="21"/>
              </w:rPr>
              <w:t>10/1/2015</w:t>
            </w:r>
          </w:p>
        </w:tc>
      </w:tr>
      <w:tr w:rsidR="00207240" w:rsidRPr="00207240" w14:paraId="2778127A" w14:textId="77777777" w:rsidTr="00D0687D">
        <w:trPr>
          <w:jc w:val="center"/>
        </w:trPr>
        <w:tc>
          <w:tcPr>
            <w:tcW w:w="1605" w:type="dxa"/>
            <w:vMerge w:val="restart"/>
            <w:tcMar>
              <w:top w:w="0" w:type="dxa"/>
              <w:left w:w="108" w:type="dxa"/>
              <w:bottom w:w="0" w:type="dxa"/>
              <w:right w:w="108" w:type="dxa"/>
            </w:tcMar>
            <w:vAlign w:val="center"/>
            <w:hideMark/>
          </w:tcPr>
          <w:p w14:paraId="694A1222" w14:textId="77777777" w:rsidR="00207240" w:rsidRPr="00207240" w:rsidRDefault="00207240" w:rsidP="00207240">
            <w:pPr>
              <w:autoSpaceDE w:val="0"/>
              <w:autoSpaceDN w:val="0"/>
              <w:spacing w:before="20" w:after="20"/>
              <w:rPr>
                <w:rFonts w:eastAsia="Calibri"/>
                <w:sz w:val="21"/>
                <w:szCs w:val="21"/>
              </w:rPr>
            </w:pPr>
            <w:r w:rsidRPr="00207240">
              <w:rPr>
                <w:sz w:val="21"/>
                <w:szCs w:val="21"/>
              </w:rPr>
              <w:t>G-1</w:t>
            </w:r>
          </w:p>
        </w:tc>
        <w:tc>
          <w:tcPr>
            <w:tcW w:w="1584" w:type="dxa"/>
            <w:vAlign w:val="center"/>
          </w:tcPr>
          <w:p w14:paraId="59A68DB9" w14:textId="77777777" w:rsidR="00207240" w:rsidRPr="00207240" w:rsidRDefault="00207240" w:rsidP="00207240">
            <w:pPr>
              <w:autoSpaceDE w:val="0"/>
              <w:autoSpaceDN w:val="0"/>
              <w:spacing w:before="20" w:after="20"/>
              <w:ind w:left="123"/>
              <w:rPr>
                <w:sz w:val="21"/>
                <w:szCs w:val="21"/>
              </w:rPr>
            </w:pPr>
            <w:r w:rsidRPr="00207240">
              <w:rPr>
                <w:sz w:val="21"/>
                <w:szCs w:val="21"/>
              </w:rPr>
              <w:t>PSD 3449-M2</w:t>
            </w:r>
          </w:p>
        </w:tc>
        <w:tc>
          <w:tcPr>
            <w:tcW w:w="1080" w:type="dxa"/>
            <w:vAlign w:val="center"/>
          </w:tcPr>
          <w:p w14:paraId="6597D735" w14:textId="77777777" w:rsidR="00207240" w:rsidRPr="00207240" w:rsidRDefault="00207240" w:rsidP="00207240">
            <w:pPr>
              <w:autoSpaceDE w:val="0"/>
              <w:autoSpaceDN w:val="0"/>
              <w:spacing w:before="20" w:after="20"/>
              <w:ind w:left="108"/>
              <w:rPr>
                <w:sz w:val="21"/>
                <w:szCs w:val="21"/>
              </w:rPr>
            </w:pPr>
            <w:r w:rsidRPr="00207240">
              <w:rPr>
                <w:sz w:val="21"/>
                <w:szCs w:val="21"/>
              </w:rPr>
              <w:t>A111 B</w:t>
            </w:r>
          </w:p>
        </w:tc>
        <w:tc>
          <w:tcPr>
            <w:tcW w:w="4320" w:type="dxa"/>
            <w:tcMar>
              <w:top w:w="0" w:type="dxa"/>
              <w:left w:w="108" w:type="dxa"/>
              <w:bottom w:w="0" w:type="dxa"/>
              <w:right w:w="108" w:type="dxa"/>
            </w:tcMar>
            <w:vAlign w:val="center"/>
            <w:hideMark/>
          </w:tcPr>
          <w:p w14:paraId="0D2806C4" w14:textId="77777777" w:rsidR="00207240" w:rsidRPr="00207240" w:rsidRDefault="00207240" w:rsidP="00207240">
            <w:pPr>
              <w:autoSpaceDE w:val="0"/>
              <w:autoSpaceDN w:val="0"/>
              <w:spacing w:before="20" w:after="20"/>
              <w:rPr>
                <w:rFonts w:eastAsia="Calibri"/>
                <w:sz w:val="21"/>
                <w:szCs w:val="21"/>
              </w:rPr>
            </w:pPr>
            <w:r w:rsidRPr="00207240">
              <w:rPr>
                <w:sz w:val="21"/>
                <w:szCs w:val="21"/>
              </w:rPr>
              <w:t>Opacity test.</w:t>
            </w:r>
          </w:p>
        </w:tc>
        <w:tc>
          <w:tcPr>
            <w:tcW w:w="1530" w:type="dxa"/>
            <w:tcMar>
              <w:top w:w="0" w:type="dxa"/>
              <w:left w:w="108" w:type="dxa"/>
              <w:bottom w:w="0" w:type="dxa"/>
              <w:right w:w="108" w:type="dxa"/>
            </w:tcMar>
            <w:vAlign w:val="center"/>
            <w:hideMark/>
          </w:tcPr>
          <w:p w14:paraId="53984001" w14:textId="77777777" w:rsidR="00207240" w:rsidRPr="00207240" w:rsidRDefault="00207240" w:rsidP="00207240">
            <w:pPr>
              <w:autoSpaceDE w:val="0"/>
              <w:autoSpaceDN w:val="0"/>
              <w:spacing w:before="20" w:after="20"/>
              <w:rPr>
                <w:sz w:val="21"/>
                <w:szCs w:val="21"/>
              </w:rPr>
            </w:pPr>
            <w:r w:rsidRPr="00207240">
              <w:rPr>
                <w:sz w:val="21"/>
                <w:szCs w:val="21"/>
              </w:rPr>
              <w:t>9/24/2015</w:t>
            </w:r>
          </w:p>
          <w:p w14:paraId="12DC460D" w14:textId="77777777" w:rsidR="00207240" w:rsidRPr="00207240" w:rsidRDefault="00207240" w:rsidP="00207240">
            <w:pPr>
              <w:autoSpaceDE w:val="0"/>
              <w:autoSpaceDN w:val="0"/>
              <w:spacing w:before="20" w:after="20"/>
              <w:rPr>
                <w:rFonts w:eastAsia="Calibri"/>
                <w:sz w:val="21"/>
                <w:szCs w:val="21"/>
              </w:rPr>
            </w:pPr>
            <w:r w:rsidRPr="00207240">
              <w:rPr>
                <w:sz w:val="21"/>
                <w:szCs w:val="21"/>
              </w:rPr>
              <w:t>9/17/2014</w:t>
            </w:r>
          </w:p>
        </w:tc>
      </w:tr>
      <w:tr w:rsidR="00207240" w:rsidRPr="00207240" w14:paraId="0243450B" w14:textId="77777777" w:rsidTr="00D0687D">
        <w:trPr>
          <w:jc w:val="center"/>
        </w:trPr>
        <w:tc>
          <w:tcPr>
            <w:tcW w:w="1605" w:type="dxa"/>
            <w:vMerge/>
            <w:tcMar>
              <w:top w:w="0" w:type="dxa"/>
              <w:left w:w="108" w:type="dxa"/>
              <w:bottom w:w="0" w:type="dxa"/>
              <w:right w:w="108" w:type="dxa"/>
            </w:tcMar>
            <w:vAlign w:val="center"/>
            <w:hideMark/>
          </w:tcPr>
          <w:p w14:paraId="44699D2C" w14:textId="77777777" w:rsidR="00207240" w:rsidRPr="00207240" w:rsidRDefault="00207240" w:rsidP="00207240">
            <w:pPr>
              <w:autoSpaceDE w:val="0"/>
              <w:autoSpaceDN w:val="0"/>
              <w:spacing w:before="20" w:after="20"/>
              <w:rPr>
                <w:rFonts w:eastAsia="Calibri"/>
                <w:sz w:val="21"/>
                <w:szCs w:val="21"/>
              </w:rPr>
            </w:pPr>
          </w:p>
        </w:tc>
        <w:tc>
          <w:tcPr>
            <w:tcW w:w="1584" w:type="dxa"/>
            <w:vAlign w:val="center"/>
          </w:tcPr>
          <w:p w14:paraId="22BF8C6F" w14:textId="77777777" w:rsidR="00207240" w:rsidRPr="00207240" w:rsidRDefault="00207240" w:rsidP="00207240">
            <w:pPr>
              <w:autoSpaceDE w:val="0"/>
              <w:autoSpaceDN w:val="0"/>
              <w:spacing w:before="20" w:after="20"/>
              <w:ind w:left="123"/>
              <w:rPr>
                <w:sz w:val="21"/>
                <w:szCs w:val="21"/>
              </w:rPr>
            </w:pPr>
            <w:r w:rsidRPr="00207240">
              <w:rPr>
                <w:sz w:val="21"/>
                <w:szCs w:val="21"/>
              </w:rPr>
              <w:t>PSD 3449-M1</w:t>
            </w:r>
          </w:p>
        </w:tc>
        <w:tc>
          <w:tcPr>
            <w:tcW w:w="1080" w:type="dxa"/>
            <w:vAlign w:val="center"/>
          </w:tcPr>
          <w:p w14:paraId="297B43EF" w14:textId="77777777" w:rsidR="00207240" w:rsidRPr="00207240" w:rsidRDefault="00207240" w:rsidP="00207240">
            <w:pPr>
              <w:autoSpaceDE w:val="0"/>
              <w:autoSpaceDN w:val="0"/>
              <w:spacing w:before="20" w:after="20"/>
              <w:ind w:left="108"/>
              <w:rPr>
                <w:sz w:val="21"/>
                <w:szCs w:val="21"/>
              </w:rPr>
            </w:pPr>
            <w:r w:rsidRPr="00207240">
              <w:rPr>
                <w:sz w:val="21"/>
                <w:szCs w:val="21"/>
              </w:rPr>
              <w:t>A111 B</w:t>
            </w:r>
          </w:p>
        </w:tc>
        <w:tc>
          <w:tcPr>
            <w:tcW w:w="4320" w:type="dxa"/>
            <w:tcMar>
              <w:top w:w="0" w:type="dxa"/>
              <w:left w:w="108" w:type="dxa"/>
              <w:bottom w:w="0" w:type="dxa"/>
              <w:right w:w="108" w:type="dxa"/>
            </w:tcMar>
            <w:vAlign w:val="center"/>
            <w:hideMark/>
          </w:tcPr>
          <w:p w14:paraId="78E9F7D8" w14:textId="77777777" w:rsidR="00207240" w:rsidRPr="00207240" w:rsidRDefault="00207240" w:rsidP="00207240">
            <w:pPr>
              <w:autoSpaceDE w:val="0"/>
              <w:autoSpaceDN w:val="0"/>
              <w:spacing w:before="20" w:after="20"/>
              <w:rPr>
                <w:rFonts w:eastAsia="Calibri"/>
                <w:sz w:val="21"/>
                <w:szCs w:val="21"/>
              </w:rPr>
            </w:pPr>
            <w:r w:rsidRPr="00207240">
              <w:rPr>
                <w:sz w:val="21"/>
                <w:szCs w:val="21"/>
              </w:rPr>
              <w:t>Opacity test.</w:t>
            </w:r>
          </w:p>
        </w:tc>
        <w:tc>
          <w:tcPr>
            <w:tcW w:w="1530" w:type="dxa"/>
            <w:tcMar>
              <w:top w:w="0" w:type="dxa"/>
              <w:left w:w="108" w:type="dxa"/>
              <w:bottom w:w="0" w:type="dxa"/>
              <w:right w:w="108" w:type="dxa"/>
            </w:tcMar>
            <w:vAlign w:val="center"/>
            <w:hideMark/>
          </w:tcPr>
          <w:p w14:paraId="42D6195F" w14:textId="77777777" w:rsidR="00207240" w:rsidRPr="00207240" w:rsidRDefault="00207240" w:rsidP="00207240">
            <w:pPr>
              <w:autoSpaceDE w:val="0"/>
              <w:autoSpaceDN w:val="0"/>
              <w:spacing w:before="20" w:after="20"/>
              <w:rPr>
                <w:sz w:val="21"/>
                <w:szCs w:val="21"/>
              </w:rPr>
            </w:pPr>
            <w:r w:rsidRPr="00207240">
              <w:rPr>
                <w:sz w:val="21"/>
                <w:szCs w:val="21"/>
              </w:rPr>
              <w:t>11/12/2013</w:t>
            </w:r>
          </w:p>
          <w:p w14:paraId="2A982DC0" w14:textId="77777777" w:rsidR="00207240" w:rsidRPr="00207240" w:rsidRDefault="00207240" w:rsidP="00207240">
            <w:pPr>
              <w:autoSpaceDE w:val="0"/>
              <w:autoSpaceDN w:val="0"/>
              <w:spacing w:before="20" w:after="20"/>
              <w:rPr>
                <w:sz w:val="21"/>
                <w:szCs w:val="21"/>
              </w:rPr>
            </w:pPr>
            <w:r w:rsidRPr="00207240">
              <w:rPr>
                <w:sz w:val="21"/>
                <w:szCs w:val="21"/>
              </w:rPr>
              <w:t>11/6/2012</w:t>
            </w:r>
          </w:p>
          <w:p w14:paraId="2B1FE93B" w14:textId="77777777" w:rsidR="00207240" w:rsidRPr="00207240" w:rsidRDefault="00207240" w:rsidP="00207240">
            <w:pPr>
              <w:autoSpaceDE w:val="0"/>
              <w:autoSpaceDN w:val="0"/>
              <w:spacing w:before="20" w:after="20"/>
              <w:rPr>
                <w:rFonts w:eastAsia="Calibri"/>
                <w:sz w:val="21"/>
                <w:szCs w:val="21"/>
              </w:rPr>
            </w:pPr>
            <w:r w:rsidRPr="00207240">
              <w:rPr>
                <w:sz w:val="21"/>
                <w:szCs w:val="21"/>
              </w:rPr>
              <w:t>11/29/2011</w:t>
            </w:r>
          </w:p>
        </w:tc>
      </w:tr>
      <w:tr w:rsidR="00207240" w:rsidRPr="00207240" w14:paraId="302F1552" w14:textId="77777777" w:rsidTr="00D0687D">
        <w:trPr>
          <w:jc w:val="center"/>
        </w:trPr>
        <w:tc>
          <w:tcPr>
            <w:tcW w:w="1605" w:type="dxa"/>
            <w:vMerge w:val="restart"/>
            <w:tcMar>
              <w:top w:w="0" w:type="dxa"/>
              <w:left w:w="108" w:type="dxa"/>
              <w:bottom w:w="0" w:type="dxa"/>
              <w:right w:w="108" w:type="dxa"/>
            </w:tcMar>
            <w:vAlign w:val="center"/>
            <w:hideMark/>
          </w:tcPr>
          <w:p w14:paraId="69BC6AD8" w14:textId="77777777" w:rsidR="00207240" w:rsidRPr="00207240" w:rsidRDefault="00207240" w:rsidP="00207240">
            <w:pPr>
              <w:autoSpaceDE w:val="0"/>
              <w:autoSpaceDN w:val="0"/>
              <w:spacing w:before="20" w:after="20"/>
              <w:rPr>
                <w:rFonts w:eastAsia="Calibri"/>
                <w:sz w:val="21"/>
                <w:szCs w:val="21"/>
              </w:rPr>
            </w:pPr>
            <w:r w:rsidRPr="00207240">
              <w:rPr>
                <w:sz w:val="21"/>
                <w:szCs w:val="21"/>
              </w:rPr>
              <w:t>FP-1</w:t>
            </w:r>
          </w:p>
        </w:tc>
        <w:tc>
          <w:tcPr>
            <w:tcW w:w="1584" w:type="dxa"/>
            <w:vAlign w:val="center"/>
          </w:tcPr>
          <w:p w14:paraId="7C5BD4FB" w14:textId="77777777" w:rsidR="00207240" w:rsidRPr="00207240" w:rsidRDefault="00207240" w:rsidP="00207240">
            <w:pPr>
              <w:autoSpaceDE w:val="0"/>
              <w:autoSpaceDN w:val="0"/>
              <w:spacing w:before="20" w:after="20"/>
              <w:ind w:left="123"/>
              <w:rPr>
                <w:sz w:val="21"/>
                <w:szCs w:val="21"/>
              </w:rPr>
            </w:pPr>
            <w:r w:rsidRPr="00207240">
              <w:rPr>
                <w:sz w:val="21"/>
                <w:szCs w:val="21"/>
              </w:rPr>
              <w:t>PSD 3449-M2</w:t>
            </w:r>
          </w:p>
        </w:tc>
        <w:tc>
          <w:tcPr>
            <w:tcW w:w="1080" w:type="dxa"/>
            <w:vAlign w:val="center"/>
          </w:tcPr>
          <w:p w14:paraId="6A06A355" w14:textId="77777777" w:rsidR="00207240" w:rsidRPr="00207240" w:rsidRDefault="00207240" w:rsidP="00207240">
            <w:pPr>
              <w:autoSpaceDE w:val="0"/>
              <w:autoSpaceDN w:val="0"/>
              <w:spacing w:before="20" w:after="20"/>
              <w:ind w:left="108"/>
              <w:rPr>
                <w:sz w:val="21"/>
                <w:szCs w:val="21"/>
              </w:rPr>
            </w:pPr>
            <w:r w:rsidRPr="00207240">
              <w:rPr>
                <w:sz w:val="21"/>
                <w:szCs w:val="21"/>
              </w:rPr>
              <w:t>A111 B</w:t>
            </w:r>
          </w:p>
        </w:tc>
        <w:tc>
          <w:tcPr>
            <w:tcW w:w="4320" w:type="dxa"/>
            <w:tcMar>
              <w:top w:w="0" w:type="dxa"/>
              <w:left w:w="108" w:type="dxa"/>
              <w:bottom w:w="0" w:type="dxa"/>
              <w:right w:w="108" w:type="dxa"/>
            </w:tcMar>
            <w:vAlign w:val="center"/>
            <w:hideMark/>
          </w:tcPr>
          <w:p w14:paraId="1BB4E15A" w14:textId="77777777" w:rsidR="00207240" w:rsidRPr="00207240" w:rsidRDefault="00207240" w:rsidP="00207240">
            <w:pPr>
              <w:autoSpaceDE w:val="0"/>
              <w:autoSpaceDN w:val="0"/>
              <w:spacing w:before="20" w:after="20"/>
              <w:rPr>
                <w:rFonts w:eastAsia="Calibri"/>
                <w:sz w:val="21"/>
                <w:szCs w:val="21"/>
              </w:rPr>
            </w:pPr>
            <w:r w:rsidRPr="00207240">
              <w:rPr>
                <w:sz w:val="21"/>
                <w:szCs w:val="21"/>
              </w:rPr>
              <w:t>Opacity test.</w:t>
            </w:r>
          </w:p>
        </w:tc>
        <w:tc>
          <w:tcPr>
            <w:tcW w:w="1530" w:type="dxa"/>
            <w:tcMar>
              <w:top w:w="0" w:type="dxa"/>
              <w:left w:w="108" w:type="dxa"/>
              <w:bottom w:w="0" w:type="dxa"/>
              <w:right w:w="108" w:type="dxa"/>
            </w:tcMar>
            <w:vAlign w:val="center"/>
            <w:hideMark/>
          </w:tcPr>
          <w:p w14:paraId="0535FBA3" w14:textId="77777777" w:rsidR="00207240" w:rsidRPr="00207240" w:rsidRDefault="00207240" w:rsidP="00207240">
            <w:pPr>
              <w:autoSpaceDE w:val="0"/>
              <w:autoSpaceDN w:val="0"/>
              <w:spacing w:before="20" w:after="20"/>
              <w:rPr>
                <w:sz w:val="21"/>
                <w:szCs w:val="21"/>
              </w:rPr>
            </w:pPr>
            <w:r w:rsidRPr="00207240">
              <w:rPr>
                <w:sz w:val="21"/>
                <w:szCs w:val="21"/>
              </w:rPr>
              <w:t>9/24/2015</w:t>
            </w:r>
          </w:p>
          <w:p w14:paraId="030349B3" w14:textId="77777777" w:rsidR="00207240" w:rsidRPr="00207240" w:rsidRDefault="00207240" w:rsidP="00207240">
            <w:pPr>
              <w:autoSpaceDE w:val="0"/>
              <w:autoSpaceDN w:val="0"/>
              <w:spacing w:before="20" w:after="20"/>
              <w:rPr>
                <w:rFonts w:eastAsia="Calibri"/>
                <w:sz w:val="21"/>
                <w:szCs w:val="21"/>
              </w:rPr>
            </w:pPr>
            <w:r w:rsidRPr="00207240">
              <w:rPr>
                <w:sz w:val="21"/>
                <w:szCs w:val="21"/>
              </w:rPr>
              <w:t>9/17/2014</w:t>
            </w:r>
          </w:p>
        </w:tc>
      </w:tr>
      <w:tr w:rsidR="00207240" w:rsidRPr="00207240" w14:paraId="2ADC8E3A" w14:textId="77777777" w:rsidTr="00D0687D">
        <w:trPr>
          <w:jc w:val="center"/>
        </w:trPr>
        <w:tc>
          <w:tcPr>
            <w:tcW w:w="1605" w:type="dxa"/>
            <w:vMerge/>
            <w:tcMar>
              <w:top w:w="0" w:type="dxa"/>
              <w:left w:w="108" w:type="dxa"/>
              <w:bottom w:w="0" w:type="dxa"/>
              <w:right w:w="108" w:type="dxa"/>
            </w:tcMar>
            <w:hideMark/>
          </w:tcPr>
          <w:p w14:paraId="1951B499" w14:textId="77777777" w:rsidR="00207240" w:rsidRPr="00207240" w:rsidRDefault="00207240" w:rsidP="00207240">
            <w:pPr>
              <w:autoSpaceDE w:val="0"/>
              <w:autoSpaceDN w:val="0"/>
              <w:spacing w:before="20" w:after="20"/>
              <w:rPr>
                <w:rFonts w:eastAsia="Calibri"/>
                <w:sz w:val="21"/>
                <w:szCs w:val="21"/>
              </w:rPr>
            </w:pPr>
          </w:p>
        </w:tc>
        <w:tc>
          <w:tcPr>
            <w:tcW w:w="1584" w:type="dxa"/>
            <w:vAlign w:val="center"/>
          </w:tcPr>
          <w:p w14:paraId="6E8A18D6" w14:textId="77777777" w:rsidR="00207240" w:rsidRPr="00207240" w:rsidRDefault="00207240" w:rsidP="00207240">
            <w:pPr>
              <w:autoSpaceDE w:val="0"/>
              <w:autoSpaceDN w:val="0"/>
              <w:spacing w:before="20" w:after="20"/>
              <w:ind w:left="123"/>
              <w:rPr>
                <w:sz w:val="21"/>
                <w:szCs w:val="21"/>
              </w:rPr>
            </w:pPr>
            <w:r w:rsidRPr="00207240">
              <w:rPr>
                <w:sz w:val="21"/>
                <w:szCs w:val="21"/>
              </w:rPr>
              <w:t>PSD 3449-M1</w:t>
            </w:r>
          </w:p>
        </w:tc>
        <w:tc>
          <w:tcPr>
            <w:tcW w:w="1080" w:type="dxa"/>
            <w:vAlign w:val="center"/>
          </w:tcPr>
          <w:p w14:paraId="42E7BFFB" w14:textId="77777777" w:rsidR="00207240" w:rsidRPr="00207240" w:rsidRDefault="00207240" w:rsidP="00207240">
            <w:pPr>
              <w:autoSpaceDE w:val="0"/>
              <w:autoSpaceDN w:val="0"/>
              <w:spacing w:before="20" w:after="20"/>
              <w:ind w:left="108"/>
              <w:rPr>
                <w:sz w:val="21"/>
                <w:szCs w:val="21"/>
              </w:rPr>
            </w:pPr>
            <w:r w:rsidRPr="00207240">
              <w:rPr>
                <w:sz w:val="21"/>
                <w:szCs w:val="21"/>
              </w:rPr>
              <w:t>A111 B</w:t>
            </w:r>
          </w:p>
        </w:tc>
        <w:tc>
          <w:tcPr>
            <w:tcW w:w="4320" w:type="dxa"/>
            <w:tcMar>
              <w:top w:w="0" w:type="dxa"/>
              <w:left w:w="108" w:type="dxa"/>
              <w:bottom w:w="0" w:type="dxa"/>
              <w:right w:w="108" w:type="dxa"/>
            </w:tcMar>
            <w:vAlign w:val="center"/>
            <w:hideMark/>
          </w:tcPr>
          <w:p w14:paraId="4FBCCBEF" w14:textId="77777777" w:rsidR="00207240" w:rsidRPr="00207240" w:rsidRDefault="00207240" w:rsidP="00207240">
            <w:pPr>
              <w:autoSpaceDE w:val="0"/>
              <w:autoSpaceDN w:val="0"/>
              <w:spacing w:before="20" w:after="20"/>
              <w:rPr>
                <w:rFonts w:eastAsia="Calibri"/>
                <w:sz w:val="21"/>
                <w:szCs w:val="21"/>
              </w:rPr>
            </w:pPr>
            <w:r w:rsidRPr="00207240">
              <w:rPr>
                <w:sz w:val="21"/>
                <w:szCs w:val="21"/>
              </w:rPr>
              <w:t>Opacity test.</w:t>
            </w:r>
          </w:p>
        </w:tc>
        <w:tc>
          <w:tcPr>
            <w:tcW w:w="1530" w:type="dxa"/>
            <w:tcMar>
              <w:top w:w="0" w:type="dxa"/>
              <w:left w:w="108" w:type="dxa"/>
              <w:bottom w:w="0" w:type="dxa"/>
              <w:right w:w="108" w:type="dxa"/>
            </w:tcMar>
            <w:vAlign w:val="center"/>
            <w:hideMark/>
          </w:tcPr>
          <w:p w14:paraId="18E8822B" w14:textId="77777777" w:rsidR="00207240" w:rsidRPr="00207240" w:rsidRDefault="00207240" w:rsidP="00207240">
            <w:pPr>
              <w:autoSpaceDE w:val="0"/>
              <w:autoSpaceDN w:val="0"/>
              <w:spacing w:before="20" w:after="20"/>
              <w:rPr>
                <w:sz w:val="21"/>
                <w:szCs w:val="21"/>
              </w:rPr>
            </w:pPr>
            <w:r w:rsidRPr="00207240">
              <w:rPr>
                <w:sz w:val="21"/>
                <w:szCs w:val="21"/>
              </w:rPr>
              <w:t>11/12/2013</w:t>
            </w:r>
          </w:p>
          <w:p w14:paraId="2AD66624" w14:textId="77777777" w:rsidR="00207240" w:rsidRPr="00207240" w:rsidRDefault="00207240" w:rsidP="00207240">
            <w:pPr>
              <w:autoSpaceDE w:val="0"/>
              <w:autoSpaceDN w:val="0"/>
              <w:spacing w:before="20" w:after="20"/>
              <w:rPr>
                <w:sz w:val="21"/>
                <w:szCs w:val="21"/>
              </w:rPr>
            </w:pPr>
            <w:r w:rsidRPr="00207240">
              <w:rPr>
                <w:sz w:val="21"/>
                <w:szCs w:val="21"/>
              </w:rPr>
              <w:t>11/6/2012</w:t>
            </w:r>
          </w:p>
          <w:p w14:paraId="7E194798" w14:textId="77777777" w:rsidR="00207240" w:rsidRPr="00207240" w:rsidRDefault="00207240" w:rsidP="00207240">
            <w:pPr>
              <w:autoSpaceDE w:val="0"/>
              <w:autoSpaceDN w:val="0"/>
              <w:spacing w:before="20" w:after="20"/>
              <w:rPr>
                <w:rFonts w:eastAsia="Calibri"/>
                <w:sz w:val="21"/>
                <w:szCs w:val="21"/>
              </w:rPr>
            </w:pPr>
            <w:r w:rsidRPr="00207240">
              <w:rPr>
                <w:sz w:val="21"/>
                <w:szCs w:val="21"/>
              </w:rPr>
              <w:t>11/29/2011</w:t>
            </w:r>
          </w:p>
        </w:tc>
      </w:tr>
    </w:tbl>
    <w:p w14:paraId="59C79D50" w14:textId="77777777" w:rsidR="00EA6637" w:rsidRDefault="00EA6637" w:rsidP="00FA0F04">
      <w:pPr>
        <w:pStyle w:val="Header"/>
        <w:tabs>
          <w:tab w:val="clear" w:pos="4320"/>
          <w:tab w:val="clear" w:pos="8640"/>
        </w:tabs>
      </w:pPr>
    </w:p>
    <w:p w14:paraId="59EAF76E" w14:textId="77777777" w:rsidR="00EA6637" w:rsidRDefault="00EA6637" w:rsidP="00FA0F04">
      <w:pPr>
        <w:widowControl w:val="0"/>
        <w:ind w:left="720"/>
        <w:jc w:val="both"/>
        <w:rPr>
          <w:u w:val="single"/>
        </w:rPr>
      </w:pPr>
    </w:p>
    <w:p w14:paraId="262309FC" w14:textId="77777777" w:rsidR="00F02D15" w:rsidRPr="009A45B1" w:rsidRDefault="00F02D15" w:rsidP="00FA0F04">
      <w:pPr>
        <w:widowControl w:val="0"/>
        <w:numPr>
          <w:ilvl w:val="0"/>
          <w:numId w:val="1"/>
        </w:numPr>
        <w:jc w:val="both"/>
        <w:rPr>
          <w:b/>
          <w:bCs/>
          <w:u w:val="single"/>
        </w:rPr>
      </w:pPr>
      <w:r w:rsidRPr="009A45B1">
        <w:rPr>
          <w:b/>
          <w:bCs/>
          <w:u w:val="single"/>
        </w:rPr>
        <w:t xml:space="preserve">Startup and Shutdown:  </w:t>
      </w:r>
    </w:p>
    <w:p w14:paraId="2942C5EA" w14:textId="77777777" w:rsidR="00B4467A" w:rsidRPr="00017C8E" w:rsidRDefault="00B4467A" w:rsidP="00FA0F04">
      <w:pPr>
        <w:widowControl w:val="0"/>
        <w:numPr>
          <w:ilvl w:val="1"/>
          <w:numId w:val="1"/>
        </w:numPr>
      </w:pPr>
      <w:r w:rsidRPr="00017C8E">
        <w:t>If applicable, did the applicant indicate that a startup, shutdown, and emergency operational plan was developed in accordance with 20.2.70.300.D(5)(g) NMAC?</w:t>
      </w:r>
      <w:r w:rsidR="00605A5E">
        <w:t xml:space="preserve"> No</w:t>
      </w:r>
    </w:p>
    <w:p w14:paraId="01AF72C9" w14:textId="77777777" w:rsidR="00B4467A" w:rsidRPr="00017C8E" w:rsidRDefault="00B4467A" w:rsidP="00FA0F04">
      <w:pPr>
        <w:widowControl w:val="0"/>
        <w:numPr>
          <w:ilvl w:val="1"/>
          <w:numId w:val="1"/>
        </w:numPr>
      </w:pPr>
      <w:r w:rsidRPr="00017C8E">
        <w:t>If applicable, did the applicant indicate that a malfunction, startup, or shutdown operational plan was developed in accordance with 20.2.72.203.A.5 NMAC?</w:t>
      </w:r>
      <w:r w:rsidR="00BB6C44">
        <w:t xml:space="preserve"> Yes</w:t>
      </w:r>
    </w:p>
    <w:p w14:paraId="42D33527" w14:textId="77777777" w:rsidR="00B4467A" w:rsidRPr="00017C8E" w:rsidRDefault="00B4467A" w:rsidP="00FA0F04">
      <w:pPr>
        <w:widowControl w:val="0"/>
        <w:numPr>
          <w:ilvl w:val="1"/>
          <w:numId w:val="1"/>
        </w:numPr>
      </w:pPr>
      <w:r w:rsidRPr="00017C8E">
        <w:t>Did the applicant indicate that a startup, shutdown, and scheduled maintenance plan was developed and implemented in accordance with 20.2.7.14.A and B NMAC?</w:t>
      </w:r>
      <w:r w:rsidR="00BB6C44">
        <w:t xml:space="preserve"> Yes</w:t>
      </w:r>
    </w:p>
    <w:p w14:paraId="3BAAF27C" w14:textId="77777777" w:rsidR="00B4467A" w:rsidRPr="00017C8E" w:rsidRDefault="00B4467A" w:rsidP="00FA0F04">
      <w:pPr>
        <w:widowControl w:val="0"/>
        <w:numPr>
          <w:ilvl w:val="1"/>
          <w:numId w:val="1"/>
        </w:numPr>
      </w:pPr>
      <w:r w:rsidRPr="00017C8E">
        <w:t>Were emissions from startup, shutdown, and scheduled maintenance operations calculated and included in the emission tables?</w:t>
      </w:r>
      <w:r w:rsidR="00BB6C44">
        <w:t xml:space="preserve"> Yes</w:t>
      </w:r>
    </w:p>
    <w:p w14:paraId="28255D4F" w14:textId="77777777" w:rsidR="00F02D15" w:rsidRPr="00F02D15" w:rsidRDefault="00F02D15" w:rsidP="00FA0F04">
      <w:pPr>
        <w:widowControl w:val="0"/>
        <w:jc w:val="both"/>
        <w:rPr>
          <w:u w:val="single"/>
        </w:rPr>
      </w:pPr>
    </w:p>
    <w:p w14:paraId="3C796682" w14:textId="54C47B78" w:rsidR="00EA6637" w:rsidRPr="00FF43C4" w:rsidRDefault="00EA6637" w:rsidP="00FA0F04">
      <w:pPr>
        <w:widowControl w:val="0"/>
        <w:numPr>
          <w:ilvl w:val="0"/>
          <w:numId w:val="1"/>
        </w:numPr>
        <w:jc w:val="both"/>
        <w:rPr>
          <w:u w:val="single"/>
        </w:rPr>
      </w:pPr>
      <w:r>
        <w:rPr>
          <w:b/>
          <w:bCs/>
          <w:u w:val="single"/>
        </w:rPr>
        <w:t xml:space="preserve">Compliance and Enforcement </w:t>
      </w:r>
      <w:r w:rsidR="00914774">
        <w:rPr>
          <w:b/>
          <w:bCs/>
          <w:u w:val="single"/>
        </w:rPr>
        <w:t>Status</w:t>
      </w:r>
      <w:r>
        <w:rPr>
          <w:b/>
          <w:bCs/>
          <w:u w:val="single"/>
        </w:rPr>
        <w:t>:</w:t>
      </w:r>
      <w:r>
        <w:rPr>
          <w:b/>
          <w:bCs/>
        </w:rPr>
        <w:t xml:space="preserve">  </w:t>
      </w:r>
      <w:r w:rsidR="001D2870" w:rsidRPr="001D2870">
        <w:rPr>
          <w:bCs/>
        </w:rPr>
        <w:t>No outstanding enforcement actions (Jon Lutz,</w:t>
      </w:r>
      <w:r w:rsidR="001D2870">
        <w:rPr>
          <w:b/>
          <w:bCs/>
        </w:rPr>
        <w:t xml:space="preserve"> </w:t>
      </w:r>
      <w:r w:rsidR="00FF43C4">
        <w:rPr>
          <w:bCs/>
        </w:rPr>
        <w:t>4/</w:t>
      </w:r>
      <w:r w:rsidR="001D2870">
        <w:rPr>
          <w:bCs/>
        </w:rPr>
        <w:t>6</w:t>
      </w:r>
      <w:r w:rsidR="00FF43C4">
        <w:rPr>
          <w:bCs/>
        </w:rPr>
        <w:t>/2016</w:t>
      </w:r>
      <w:r w:rsidR="001D2870">
        <w:rPr>
          <w:bCs/>
        </w:rPr>
        <w:t>)</w:t>
      </w:r>
    </w:p>
    <w:p w14:paraId="185E55A8" w14:textId="77777777" w:rsidR="00EA6637" w:rsidRDefault="00EA6637" w:rsidP="00FA0F04">
      <w:pPr>
        <w:widowControl w:val="0"/>
        <w:jc w:val="both"/>
        <w:rPr>
          <w:b/>
          <w:bCs/>
          <w:u w:val="single"/>
        </w:rPr>
      </w:pPr>
    </w:p>
    <w:p w14:paraId="4A86D7CB" w14:textId="4CEF1878" w:rsidR="00BF43B7" w:rsidRDefault="00BF43B7" w:rsidP="006A3713">
      <w:pPr>
        <w:widowControl w:val="0"/>
        <w:numPr>
          <w:ilvl w:val="0"/>
          <w:numId w:val="1"/>
        </w:numPr>
        <w:jc w:val="both"/>
      </w:pPr>
      <w:r w:rsidRPr="00636B20">
        <w:rPr>
          <w:b/>
          <w:bCs/>
          <w:u w:val="single"/>
        </w:rPr>
        <w:t>Modeling:</w:t>
      </w:r>
      <w:r>
        <w:t xml:space="preserve"> </w:t>
      </w:r>
      <w:r w:rsidR="008C1124" w:rsidRPr="00016576">
        <w:t>Pre-construction monitoring is waived because the facility is close to Hobbs monitors.</w:t>
      </w:r>
      <w:r w:rsidR="008C1124">
        <w:t xml:space="preserve"> </w:t>
      </w:r>
      <w:r w:rsidR="008C1124" w:rsidRPr="00016576">
        <w:t>For this permit, modeling was required for the following pollutants: Nitrogen Dioxide (NO</w:t>
      </w:r>
      <w:r w:rsidR="008C1124" w:rsidRPr="00016576">
        <w:rPr>
          <w:vertAlign w:val="subscript"/>
        </w:rPr>
        <w:t>2</w:t>
      </w:r>
      <w:r w:rsidR="008C1124" w:rsidRPr="00016576">
        <w:t xml:space="preserve">), </w:t>
      </w:r>
      <w:r w:rsidR="008C1124">
        <w:t>ozone (O</w:t>
      </w:r>
      <w:r w:rsidR="008C1124" w:rsidRPr="00DD58D0">
        <w:rPr>
          <w:vertAlign w:val="subscript"/>
        </w:rPr>
        <w:t>3</w:t>
      </w:r>
      <w:r w:rsidR="008C1124">
        <w:t xml:space="preserve">), </w:t>
      </w:r>
      <w:r w:rsidR="008C1124" w:rsidRPr="00016576">
        <w:t xml:space="preserve">Particulate Matter (2.5 microns or less) (PM2.5), and Sulfur Dioxide (SO2). </w:t>
      </w:r>
      <w:r w:rsidR="00DC68BD">
        <w:t>The revised modeling report from Eric Peters was based on the revised modeling submitted by the applicant.  The revised modeling report (Eric Peters, 11/14/18) concluded that the</w:t>
      </w:r>
      <w:r w:rsidR="00DC68BD" w:rsidRPr="00016576">
        <w:t xml:space="preserve"> modeling analysis demonstrates that operation of the facility described in this report neither causes nor contributes to any exceedances of applicable air quality standards. The standards relevant at this facility are NAAQS for NO</w:t>
      </w:r>
      <w:r w:rsidR="00DC68BD" w:rsidRPr="00016576">
        <w:rPr>
          <w:vertAlign w:val="subscript"/>
        </w:rPr>
        <w:t>2</w:t>
      </w:r>
      <w:r w:rsidR="00DC68BD" w:rsidRPr="00016576">
        <w:t>, PM2.5, and SO</w:t>
      </w:r>
      <w:r w:rsidR="00DC68BD" w:rsidRPr="00016576">
        <w:rPr>
          <w:vertAlign w:val="subscript"/>
        </w:rPr>
        <w:t>2</w:t>
      </w:r>
      <w:r w:rsidR="00DC68BD" w:rsidRPr="00016576">
        <w:t>; NMAAQS for NO</w:t>
      </w:r>
      <w:r w:rsidR="00DC68BD" w:rsidRPr="00016576">
        <w:rPr>
          <w:vertAlign w:val="subscript"/>
        </w:rPr>
        <w:t>2</w:t>
      </w:r>
      <w:r w:rsidR="00DC68BD" w:rsidRPr="00016576">
        <w:t>, and SO</w:t>
      </w:r>
      <w:r w:rsidR="00DC68BD" w:rsidRPr="00016576">
        <w:rPr>
          <w:vertAlign w:val="subscript"/>
        </w:rPr>
        <w:t>2</w:t>
      </w:r>
      <w:r w:rsidR="00DC68BD" w:rsidRPr="00016576">
        <w:t>; and Class I and Class II PSD increments for NO</w:t>
      </w:r>
      <w:r w:rsidR="00DC68BD" w:rsidRPr="00016576">
        <w:rPr>
          <w:vertAlign w:val="subscript"/>
        </w:rPr>
        <w:t>2</w:t>
      </w:r>
      <w:r w:rsidR="00DC68BD" w:rsidRPr="00016576">
        <w:t>, and SO</w:t>
      </w:r>
      <w:r w:rsidR="00DC68BD" w:rsidRPr="00016576">
        <w:rPr>
          <w:vertAlign w:val="subscript"/>
        </w:rPr>
        <w:t>2</w:t>
      </w:r>
      <w:r w:rsidR="00DC68BD" w:rsidRPr="00016576">
        <w:t xml:space="preserve">. </w:t>
      </w:r>
      <w:r w:rsidR="00CB52BC">
        <w:t xml:space="preserve"> </w:t>
      </w:r>
    </w:p>
    <w:p w14:paraId="71F73820" w14:textId="77777777" w:rsidR="00636B20" w:rsidRDefault="00636B20" w:rsidP="00636B20">
      <w:pPr>
        <w:pStyle w:val="ListParagraph"/>
      </w:pPr>
    </w:p>
    <w:p w14:paraId="52DADA3E" w14:textId="77777777" w:rsidR="00636B20" w:rsidRDefault="00636B20" w:rsidP="00636B20">
      <w:pPr>
        <w:widowControl w:val="0"/>
        <w:ind w:left="720"/>
        <w:jc w:val="both"/>
      </w:pPr>
    </w:p>
    <w:p w14:paraId="32115ECA" w14:textId="77777777" w:rsidR="00BF43B7" w:rsidRPr="00CB35B6" w:rsidRDefault="00BF43B7" w:rsidP="00FA0F04">
      <w:pPr>
        <w:widowControl w:val="0"/>
        <w:numPr>
          <w:ilvl w:val="0"/>
          <w:numId w:val="1"/>
        </w:numPr>
        <w:tabs>
          <w:tab w:val="clear" w:pos="720"/>
        </w:tabs>
        <w:jc w:val="both"/>
        <w:rPr>
          <w:sz w:val="22"/>
          <w:szCs w:val="22"/>
          <w:u w:val="single"/>
        </w:rPr>
      </w:pPr>
      <w:r>
        <w:rPr>
          <w:b/>
          <w:bCs/>
          <w:u w:val="single"/>
        </w:rPr>
        <w:t>State Regulat</w:t>
      </w:r>
      <w:r w:rsidR="002B1A8D">
        <w:rPr>
          <w:b/>
          <w:bCs/>
          <w:u w:val="single"/>
        </w:rPr>
        <w:t>ory Analysis</w:t>
      </w:r>
      <w:r>
        <w:rPr>
          <w:b/>
          <w:bCs/>
          <w:u w:val="single"/>
        </w:rPr>
        <w:t>(NMAC/AQCR</w:t>
      </w:r>
      <w:r>
        <w:rPr>
          <w:u w:val="single"/>
        </w:rPr>
        <w:t>)</w:t>
      </w:r>
      <w:r>
        <w:rPr>
          <w:b/>
          <w:bCs/>
          <w:u w:val="single"/>
        </w:rPr>
        <w:t xml:space="preserve">: </w:t>
      </w:r>
      <w:r w:rsidR="009A45B1">
        <w:rPr>
          <w:b/>
          <w:bCs/>
          <w:u w:val="single"/>
        </w:rPr>
        <w:t xml:space="preserve"> </w:t>
      </w:r>
    </w:p>
    <w:tbl>
      <w:tblPr>
        <w:tblW w:w="9720" w:type="dxa"/>
        <w:jc w:val="center"/>
        <w:tblLayout w:type="fixed"/>
        <w:tblCellMar>
          <w:left w:w="72" w:type="dxa"/>
          <w:right w:w="72" w:type="dxa"/>
        </w:tblCellMar>
        <w:tblLook w:val="0000" w:firstRow="0" w:lastRow="0" w:firstColumn="0" w:lastColumn="0" w:noHBand="0" w:noVBand="0"/>
      </w:tblPr>
      <w:tblGrid>
        <w:gridCol w:w="900"/>
        <w:gridCol w:w="2610"/>
        <w:gridCol w:w="1080"/>
        <w:gridCol w:w="5130"/>
      </w:tblGrid>
      <w:tr w:rsidR="00CB35B6" w:rsidRPr="00237225" w14:paraId="19B32DA2" w14:textId="77777777" w:rsidTr="00D8394C">
        <w:trPr>
          <w:cantSplit/>
          <w:tblHeader/>
          <w:jc w:val="center"/>
        </w:trPr>
        <w:tc>
          <w:tcPr>
            <w:tcW w:w="900"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5F6E2F44" w14:textId="77777777" w:rsidR="00CB35B6" w:rsidRPr="00237225" w:rsidRDefault="00CB35B6" w:rsidP="00D8394C">
            <w:pPr>
              <w:rPr>
                <w:b/>
                <w:bCs/>
              </w:rPr>
            </w:pPr>
            <w:r w:rsidRPr="00237225">
              <w:rPr>
                <w:b/>
                <w:bCs/>
                <w:sz w:val="22"/>
                <w:szCs w:val="22"/>
              </w:rPr>
              <w:t>20</w:t>
            </w:r>
          </w:p>
          <w:p w14:paraId="21183346" w14:textId="77777777" w:rsidR="00CB35B6" w:rsidRPr="00237225" w:rsidRDefault="00CB35B6" w:rsidP="00D8394C">
            <w:pPr>
              <w:spacing w:after="14"/>
            </w:pPr>
            <w:r w:rsidRPr="00237225">
              <w:rPr>
                <w:b/>
                <w:bCs/>
                <w:sz w:val="22"/>
                <w:szCs w:val="22"/>
              </w:rPr>
              <w:t xml:space="preserve">NMAC </w:t>
            </w:r>
          </w:p>
        </w:tc>
        <w:tc>
          <w:tcPr>
            <w:tcW w:w="2610"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3873C9AA" w14:textId="77777777" w:rsidR="00CB35B6" w:rsidRPr="00237225" w:rsidRDefault="00CB35B6" w:rsidP="00D8394C">
            <w:pPr>
              <w:spacing w:after="14"/>
            </w:pPr>
            <w:r w:rsidRPr="00237225">
              <w:rPr>
                <w:b/>
                <w:bCs/>
                <w:sz w:val="22"/>
                <w:szCs w:val="22"/>
              </w:rPr>
              <w:t>Title</w:t>
            </w:r>
          </w:p>
        </w:tc>
        <w:tc>
          <w:tcPr>
            <w:tcW w:w="1080"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4D0C524D" w14:textId="77777777" w:rsidR="00CB35B6" w:rsidRPr="00237225" w:rsidRDefault="00CB35B6" w:rsidP="00D8394C">
            <w:pPr>
              <w:rPr>
                <w:b/>
                <w:bCs/>
              </w:rPr>
            </w:pPr>
            <w:r w:rsidRPr="00237225">
              <w:rPr>
                <w:b/>
                <w:bCs/>
                <w:sz w:val="22"/>
                <w:szCs w:val="22"/>
              </w:rPr>
              <w:t xml:space="preserve">Applies </w:t>
            </w:r>
          </w:p>
          <w:p w14:paraId="6CBE421D" w14:textId="77777777" w:rsidR="00CB35B6" w:rsidRPr="00237225" w:rsidRDefault="00CB35B6" w:rsidP="00D8394C">
            <w:pPr>
              <w:spacing w:after="14"/>
            </w:pPr>
            <w:r w:rsidRPr="00237225">
              <w:rPr>
                <w:b/>
                <w:bCs/>
                <w:sz w:val="22"/>
                <w:szCs w:val="22"/>
              </w:rPr>
              <w:t>(Y/N)</w:t>
            </w:r>
          </w:p>
        </w:tc>
        <w:tc>
          <w:tcPr>
            <w:tcW w:w="5130"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59FB5330" w14:textId="77777777" w:rsidR="00CB35B6" w:rsidRPr="00237225" w:rsidRDefault="00CB35B6" w:rsidP="00D8394C">
            <w:pPr>
              <w:spacing w:after="14"/>
            </w:pPr>
            <w:r w:rsidRPr="00237225">
              <w:rPr>
                <w:b/>
                <w:bCs/>
                <w:sz w:val="22"/>
                <w:szCs w:val="22"/>
              </w:rPr>
              <w:t>Comments</w:t>
            </w:r>
          </w:p>
        </w:tc>
      </w:tr>
      <w:tr w:rsidR="00CB35B6" w:rsidRPr="00237225" w14:paraId="6FF492A2" w14:textId="77777777" w:rsidTr="00D8394C">
        <w:trPr>
          <w:cantSplit/>
          <w:jc w:val="center"/>
        </w:trPr>
        <w:tc>
          <w:tcPr>
            <w:tcW w:w="900" w:type="dxa"/>
            <w:tcBorders>
              <w:top w:val="single" w:sz="6" w:space="0" w:color="000000"/>
              <w:left w:val="single" w:sz="6" w:space="0" w:color="000000"/>
              <w:bottom w:val="single" w:sz="6" w:space="0" w:color="000000"/>
              <w:right w:val="single" w:sz="6" w:space="0" w:color="000000"/>
            </w:tcBorders>
            <w:vAlign w:val="center"/>
          </w:tcPr>
          <w:p w14:paraId="09EA677D" w14:textId="77777777" w:rsidR="00CB35B6" w:rsidRPr="00237225" w:rsidRDefault="00CB35B6" w:rsidP="00D8394C">
            <w:pPr>
              <w:spacing w:after="14"/>
              <w:rPr>
                <w:b/>
                <w:bCs/>
              </w:rPr>
            </w:pPr>
            <w:r w:rsidRPr="00237225">
              <w:rPr>
                <w:b/>
                <w:bCs/>
                <w:sz w:val="22"/>
                <w:szCs w:val="22"/>
              </w:rPr>
              <w:t>2.3</w:t>
            </w:r>
          </w:p>
        </w:tc>
        <w:tc>
          <w:tcPr>
            <w:tcW w:w="2610" w:type="dxa"/>
            <w:tcBorders>
              <w:top w:val="single" w:sz="6" w:space="0" w:color="000000"/>
              <w:left w:val="single" w:sz="6" w:space="0" w:color="000000"/>
              <w:bottom w:val="single" w:sz="6" w:space="0" w:color="000000"/>
              <w:right w:val="single" w:sz="6" w:space="0" w:color="000000"/>
            </w:tcBorders>
            <w:vAlign w:val="center"/>
          </w:tcPr>
          <w:p w14:paraId="0090CC67" w14:textId="77777777" w:rsidR="00CB35B6" w:rsidRPr="00237225" w:rsidRDefault="00CB35B6" w:rsidP="00D8394C">
            <w:pPr>
              <w:spacing w:after="14"/>
            </w:pPr>
            <w:r w:rsidRPr="00237225">
              <w:rPr>
                <w:sz w:val="22"/>
                <w:szCs w:val="22"/>
              </w:rPr>
              <w:t>Ambient Air Quality Standards</w:t>
            </w:r>
          </w:p>
        </w:tc>
        <w:tc>
          <w:tcPr>
            <w:tcW w:w="1080" w:type="dxa"/>
            <w:tcBorders>
              <w:top w:val="single" w:sz="6" w:space="0" w:color="000000"/>
              <w:left w:val="single" w:sz="6" w:space="0" w:color="000000"/>
              <w:bottom w:val="single" w:sz="6" w:space="0" w:color="000000"/>
              <w:right w:val="single" w:sz="6" w:space="0" w:color="000000"/>
            </w:tcBorders>
            <w:vAlign w:val="center"/>
          </w:tcPr>
          <w:p w14:paraId="4DFE426A" w14:textId="701BDB80" w:rsidR="00CB35B6" w:rsidRDefault="00CB35B6" w:rsidP="00D8394C">
            <w:pPr>
              <w:spacing w:after="14"/>
            </w:pPr>
            <w:r>
              <w:rPr>
                <w:sz w:val="22"/>
                <w:szCs w:val="22"/>
              </w:rPr>
              <w:t xml:space="preserve">Y </w:t>
            </w:r>
          </w:p>
          <w:p w14:paraId="2E46C2CA" w14:textId="77777777" w:rsidR="00CB35B6" w:rsidRDefault="00CB35B6" w:rsidP="00D8394C">
            <w:pPr>
              <w:spacing w:after="14"/>
            </w:pPr>
          </w:p>
          <w:p w14:paraId="6BAB7BFF" w14:textId="2FBA4ED2" w:rsidR="00CB35B6" w:rsidRPr="00237225" w:rsidRDefault="00CB35B6" w:rsidP="00D8394C">
            <w:pPr>
              <w:spacing w:after="14"/>
            </w:pPr>
          </w:p>
        </w:tc>
        <w:tc>
          <w:tcPr>
            <w:tcW w:w="5130" w:type="dxa"/>
            <w:tcBorders>
              <w:top w:val="single" w:sz="6" w:space="0" w:color="000000"/>
              <w:left w:val="single" w:sz="6" w:space="0" w:color="000000"/>
              <w:bottom w:val="single" w:sz="6" w:space="0" w:color="000000"/>
              <w:right w:val="single" w:sz="6" w:space="0" w:color="000000"/>
            </w:tcBorders>
            <w:vAlign w:val="center"/>
          </w:tcPr>
          <w:p w14:paraId="2CC0E3D1" w14:textId="77777777" w:rsidR="00CB35B6" w:rsidRDefault="00CB35B6" w:rsidP="00D8394C">
            <w:pPr>
              <w:widowControl w:val="0"/>
              <w:spacing w:after="14" w:line="240" w:lineRule="atLeast"/>
            </w:pPr>
            <w:r w:rsidRPr="00FA337B">
              <w:rPr>
                <w:sz w:val="22"/>
                <w:szCs w:val="22"/>
              </w:rPr>
              <w:t xml:space="preserve">20.2.3 NMAC is a SIP approved regulation that limits the maximum allowable concentration of Total Suspended Particulates, Sulfur Compounds, Carbon Monoxide and Nitrogen Dioxide.  </w:t>
            </w:r>
          </w:p>
          <w:p w14:paraId="7EF09E44" w14:textId="77777777" w:rsidR="00CB35B6" w:rsidRPr="00237225" w:rsidRDefault="00CB35B6" w:rsidP="00D8394C">
            <w:pPr>
              <w:tabs>
                <w:tab w:val="left" w:pos="1443"/>
              </w:tabs>
              <w:spacing w:after="14"/>
            </w:pPr>
            <w:r w:rsidRPr="00601474">
              <w:rPr>
                <w:sz w:val="22"/>
                <w:szCs w:val="22"/>
              </w:rPr>
              <w:t>20.2.3.9 NMAC, LIMITATION OF APPLICABILITY TO 20.2.70 NMAC. The requirements of this part are not applicable requirements under 20.2.70 NMAC, as defined by that part. This section does not limit the applicability of this part to sources required to obtain a permit under 20.2.72 NMAC, nor does it limit which terms and conditions of permits issued pursuant to 20.2.72 NMAC are applicable requirements for permits issued pursuant to 20.2.70 NMAC.</w:t>
            </w:r>
          </w:p>
        </w:tc>
      </w:tr>
      <w:tr w:rsidR="00CB35B6" w:rsidRPr="00237225" w14:paraId="0D172323" w14:textId="77777777" w:rsidTr="00D8394C">
        <w:trPr>
          <w:cantSplit/>
          <w:jc w:val="center"/>
        </w:trPr>
        <w:tc>
          <w:tcPr>
            <w:tcW w:w="900" w:type="dxa"/>
            <w:tcBorders>
              <w:top w:val="single" w:sz="6" w:space="0" w:color="000000"/>
              <w:left w:val="single" w:sz="6" w:space="0" w:color="000000"/>
              <w:bottom w:val="single" w:sz="6" w:space="0" w:color="000000"/>
              <w:right w:val="single" w:sz="6" w:space="0" w:color="000000"/>
            </w:tcBorders>
            <w:vAlign w:val="center"/>
          </w:tcPr>
          <w:p w14:paraId="14AA3B7A" w14:textId="77777777" w:rsidR="00CB35B6" w:rsidRPr="00DF4B7A" w:rsidRDefault="00CB35B6" w:rsidP="00D8394C">
            <w:pPr>
              <w:spacing w:after="14"/>
              <w:rPr>
                <w:b/>
                <w:bCs/>
              </w:rPr>
            </w:pPr>
            <w:r w:rsidRPr="00DF4B7A">
              <w:rPr>
                <w:b/>
                <w:bCs/>
                <w:sz w:val="22"/>
                <w:szCs w:val="22"/>
              </w:rPr>
              <w:t>2.7</w:t>
            </w:r>
          </w:p>
        </w:tc>
        <w:tc>
          <w:tcPr>
            <w:tcW w:w="2610" w:type="dxa"/>
            <w:tcBorders>
              <w:top w:val="single" w:sz="6" w:space="0" w:color="000000"/>
              <w:left w:val="single" w:sz="6" w:space="0" w:color="000000"/>
              <w:bottom w:val="single" w:sz="6" w:space="0" w:color="000000"/>
              <w:right w:val="single" w:sz="6" w:space="0" w:color="000000"/>
            </w:tcBorders>
            <w:vAlign w:val="center"/>
          </w:tcPr>
          <w:p w14:paraId="61B87D14" w14:textId="77777777" w:rsidR="00CB35B6" w:rsidRPr="00DF4B7A" w:rsidRDefault="00CB35B6" w:rsidP="00D8394C">
            <w:pPr>
              <w:spacing w:after="14"/>
            </w:pPr>
            <w:r w:rsidRPr="00DF4B7A">
              <w:rPr>
                <w:sz w:val="22"/>
                <w:szCs w:val="22"/>
              </w:rPr>
              <w:t>Excess Emissions During Malfunction</w:t>
            </w:r>
          </w:p>
        </w:tc>
        <w:tc>
          <w:tcPr>
            <w:tcW w:w="1080" w:type="dxa"/>
            <w:tcBorders>
              <w:top w:val="single" w:sz="6" w:space="0" w:color="000000"/>
              <w:left w:val="single" w:sz="6" w:space="0" w:color="000000"/>
              <w:bottom w:val="single" w:sz="6" w:space="0" w:color="000000"/>
              <w:right w:val="single" w:sz="6" w:space="0" w:color="000000"/>
            </w:tcBorders>
            <w:vAlign w:val="center"/>
          </w:tcPr>
          <w:p w14:paraId="7DA34639" w14:textId="77777777" w:rsidR="00CB35B6" w:rsidRPr="00DF4B7A" w:rsidRDefault="00CB35B6" w:rsidP="00D8394C">
            <w:pPr>
              <w:spacing w:after="14"/>
            </w:pPr>
            <w:r w:rsidRPr="00DF4B7A">
              <w:rPr>
                <w:sz w:val="22"/>
                <w:szCs w:val="22"/>
              </w:rPr>
              <w:t>Y</w:t>
            </w:r>
          </w:p>
        </w:tc>
        <w:tc>
          <w:tcPr>
            <w:tcW w:w="5130" w:type="dxa"/>
            <w:tcBorders>
              <w:top w:val="single" w:sz="6" w:space="0" w:color="000000"/>
              <w:left w:val="single" w:sz="6" w:space="0" w:color="000000"/>
              <w:bottom w:val="single" w:sz="6" w:space="0" w:color="000000"/>
              <w:right w:val="single" w:sz="6" w:space="0" w:color="000000"/>
            </w:tcBorders>
            <w:vAlign w:val="center"/>
          </w:tcPr>
          <w:p w14:paraId="7BC9F05D" w14:textId="77777777" w:rsidR="00CB35B6" w:rsidRPr="00DF4B7A" w:rsidRDefault="00CB35B6" w:rsidP="00D8394C">
            <w:pPr>
              <w:tabs>
                <w:tab w:val="left" w:pos="1443"/>
              </w:tabs>
              <w:spacing w:after="14"/>
            </w:pPr>
            <w:r w:rsidRPr="00DF4B7A">
              <w:rPr>
                <w:sz w:val="22"/>
                <w:szCs w:val="22"/>
              </w:rPr>
              <w:t>Applies to all facilities</w:t>
            </w:r>
            <w:r>
              <w:rPr>
                <w:sz w:val="22"/>
                <w:szCs w:val="22"/>
              </w:rPr>
              <w:t>’</w:t>
            </w:r>
            <w:r w:rsidRPr="00DF4B7A">
              <w:rPr>
                <w:sz w:val="22"/>
                <w:szCs w:val="22"/>
              </w:rPr>
              <w:t xml:space="preserve"> sources</w:t>
            </w:r>
          </w:p>
        </w:tc>
      </w:tr>
      <w:tr w:rsidR="00CB35B6" w:rsidRPr="00237225" w14:paraId="7151816B" w14:textId="77777777" w:rsidTr="00D8394C">
        <w:trPr>
          <w:cantSplit/>
          <w:jc w:val="center"/>
        </w:trPr>
        <w:tc>
          <w:tcPr>
            <w:tcW w:w="900" w:type="dxa"/>
            <w:tcBorders>
              <w:top w:val="single" w:sz="6" w:space="0" w:color="000000"/>
              <w:left w:val="single" w:sz="6" w:space="0" w:color="000000"/>
              <w:bottom w:val="single" w:sz="6" w:space="0" w:color="000000"/>
              <w:right w:val="single" w:sz="6" w:space="0" w:color="000000"/>
            </w:tcBorders>
            <w:vAlign w:val="center"/>
          </w:tcPr>
          <w:p w14:paraId="4BABB93A" w14:textId="77777777" w:rsidR="00CB35B6" w:rsidRPr="00DF4B7A" w:rsidRDefault="00CB35B6" w:rsidP="00D8394C">
            <w:pPr>
              <w:spacing w:after="14"/>
              <w:rPr>
                <w:b/>
                <w:bCs/>
              </w:rPr>
            </w:pPr>
            <w:r w:rsidRPr="00DF4B7A">
              <w:rPr>
                <w:b/>
                <w:bCs/>
                <w:sz w:val="22"/>
                <w:szCs w:val="22"/>
              </w:rPr>
              <w:t>2.33</w:t>
            </w:r>
          </w:p>
        </w:tc>
        <w:tc>
          <w:tcPr>
            <w:tcW w:w="2610" w:type="dxa"/>
            <w:tcBorders>
              <w:top w:val="single" w:sz="6" w:space="0" w:color="000000"/>
              <w:left w:val="single" w:sz="6" w:space="0" w:color="000000"/>
              <w:bottom w:val="single" w:sz="6" w:space="0" w:color="000000"/>
              <w:right w:val="single" w:sz="6" w:space="0" w:color="000000"/>
            </w:tcBorders>
            <w:vAlign w:val="center"/>
          </w:tcPr>
          <w:p w14:paraId="15EDB2CD" w14:textId="77777777" w:rsidR="00CB35B6" w:rsidRPr="00DF4B7A" w:rsidRDefault="00CB35B6" w:rsidP="00D8394C">
            <w:pPr>
              <w:spacing w:after="14"/>
            </w:pPr>
            <w:r w:rsidRPr="00DF4B7A">
              <w:rPr>
                <w:sz w:val="22"/>
                <w:szCs w:val="22"/>
              </w:rPr>
              <w:t xml:space="preserve">Gas Burning Equipment </w:t>
            </w:r>
            <w:r>
              <w:rPr>
                <w:sz w:val="22"/>
                <w:szCs w:val="22"/>
              </w:rPr>
              <w:t>–</w:t>
            </w:r>
            <w:r w:rsidRPr="00DF4B7A">
              <w:rPr>
                <w:sz w:val="22"/>
                <w:szCs w:val="22"/>
              </w:rPr>
              <w:t xml:space="preserve"> Nitrogen Dioxide</w:t>
            </w:r>
          </w:p>
        </w:tc>
        <w:tc>
          <w:tcPr>
            <w:tcW w:w="1080" w:type="dxa"/>
            <w:tcBorders>
              <w:top w:val="single" w:sz="6" w:space="0" w:color="000000"/>
              <w:left w:val="single" w:sz="6" w:space="0" w:color="000000"/>
              <w:bottom w:val="single" w:sz="6" w:space="0" w:color="000000"/>
              <w:right w:val="single" w:sz="6" w:space="0" w:color="000000"/>
            </w:tcBorders>
            <w:vAlign w:val="center"/>
          </w:tcPr>
          <w:p w14:paraId="5AF115F2" w14:textId="77777777" w:rsidR="00CB35B6" w:rsidRPr="00DF4B7A" w:rsidRDefault="00CB35B6" w:rsidP="00D8394C">
            <w:pPr>
              <w:spacing w:after="14"/>
            </w:pPr>
            <w:r w:rsidRPr="00DF4B7A">
              <w:rPr>
                <w:sz w:val="22"/>
                <w:szCs w:val="22"/>
              </w:rPr>
              <w:t>Y</w:t>
            </w:r>
          </w:p>
        </w:tc>
        <w:tc>
          <w:tcPr>
            <w:tcW w:w="5130" w:type="dxa"/>
            <w:tcBorders>
              <w:top w:val="single" w:sz="6" w:space="0" w:color="000000"/>
              <w:left w:val="single" w:sz="6" w:space="0" w:color="000000"/>
              <w:bottom w:val="single" w:sz="6" w:space="0" w:color="000000"/>
              <w:right w:val="single" w:sz="6" w:space="0" w:color="000000"/>
            </w:tcBorders>
            <w:vAlign w:val="center"/>
          </w:tcPr>
          <w:p w14:paraId="59A02FAA" w14:textId="36DD0FDA" w:rsidR="00CA4E14" w:rsidRPr="00930138" w:rsidRDefault="00E90A5E" w:rsidP="00930138">
            <w:pPr>
              <w:tabs>
                <w:tab w:val="left" w:pos="1443"/>
              </w:tabs>
              <w:spacing w:after="14"/>
              <w:rPr>
                <w:sz w:val="22"/>
                <w:szCs w:val="22"/>
              </w:rPr>
            </w:pPr>
            <w:r>
              <w:rPr>
                <w:sz w:val="22"/>
                <w:szCs w:val="22"/>
              </w:rPr>
              <w:t>This facility does have gas</w:t>
            </w:r>
            <w:r w:rsidRPr="00121E78">
              <w:rPr>
                <w:sz w:val="22"/>
                <w:szCs w:val="22"/>
              </w:rPr>
              <w:t xml:space="preserve"> burning equipment (external combusti</w:t>
            </w:r>
            <w:r>
              <w:rPr>
                <w:sz w:val="22"/>
                <w:szCs w:val="22"/>
              </w:rPr>
              <w:t>on emission sources, such as gas</w:t>
            </w:r>
            <w:r w:rsidRPr="00121E78">
              <w:rPr>
                <w:sz w:val="22"/>
                <w:szCs w:val="22"/>
              </w:rPr>
              <w:t xml:space="preserve"> fired boilers and heaters) having a heat input of greater than 1,000,000 million British Thermal Units per year per unit.</w:t>
            </w:r>
            <w:r>
              <w:rPr>
                <w:sz w:val="22"/>
                <w:szCs w:val="22"/>
              </w:rPr>
              <w:t xml:space="preserve"> </w:t>
            </w:r>
            <w:r w:rsidRPr="00930138">
              <w:rPr>
                <w:sz w:val="22"/>
                <w:szCs w:val="22"/>
              </w:rPr>
              <w:t>Units DB-1 and DB-2.</w:t>
            </w:r>
          </w:p>
        </w:tc>
      </w:tr>
      <w:tr w:rsidR="00CB35B6" w:rsidRPr="00237225" w14:paraId="610FDD3A" w14:textId="77777777" w:rsidTr="00D8394C">
        <w:trPr>
          <w:cantSplit/>
          <w:jc w:val="center"/>
        </w:trPr>
        <w:tc>
          <w:tcPr>
            <w:tcW w:w="900" w:type="dxa"/>
            <w:tcBorders>
              <w:top w:val="single" w:sz="6" w:space="0" w:color="000000"/>
              <w:left w:val="single" w:sz="6" w:space="0" w:color="000000"/>
              <w:bottom w:val="single" w:sz="6" w:space="0" w:color="000000"/>
              <w:right w:val="single" w:sz="6" w:space="0" w:color="000000"/>
            </w:tcBorders>
            <w:vAlign w:val="center"/>
          </w:tcPr>
          <w:p w14:paraId="5EDEDEF4" w14:textId="77777777" w:rsidR="00CB35B6" w:rsidRPr="00DF4B7A" w:rsidRDefault="00CB35B6" w:rsidP="00D8394C">
            <w:pPr>
              <w:spacing w:after="14"/>
              <w:rPr>
                <w:b/>
                <w:bCs/>
              </w:rPr>
            </w:pPr>
            <w:r w:rsidRPr="00DF4B7A">
              <w:rPr>
                <w:b/>
                <w:bCs/>
                <w:sz w:val="22"/>
                <w:szCs w:val="22"/>
              </w:rPr>
              <w:lastRenderedPageBreak/>
              <w:t>2.61</w:t>
            </w:r>
          </w:p>
        </w:tc>
        <w:tc>
          <w:tcPr>
            <w:tcW w:w="2610" w:type="dxa"/>
            <w:tcBorders>
              <w:top w:val="single" w:sz="6" w:space="0" w:color="000000"/>
              <w:left w:val="single" w:sz="6" w:space="0" w:color="000000"/>
              <w:bottom w:val="single" w:sz="6" w:space="0" w:color="000000"/>
              <w:right w:val="single" w:sz="6" w:space="0" w:color="000000"/>
            </w:tcBorders>
            <w:vAlign w:val="center"/>
          </w:tcPr>
          <w:p w14:paraId="271C24DD" w14:textId="77777777" w:rsidR="00CB35B6" w:rsidRPr="00DF4B7A" w:rsidRDefault="00CB35B6" w:rsidP="00D8394C">
            <w:pPr>
              <w:spacing w:after="14"/>
            </w:pPr>
            <w:r w:rsidRPr="00DF4B7A">
              <w:rPr>
                <w:sz w:val="22"/>
                <w:szCs w:val="22"/>
              </w:rPr>
              <w:t>Smoke and Visible Emissions</w:t>
            </w:r>
          </w:p>
        </w:tc>
        <w:tc>
          <w:tcPr>
            <w:tcW w:w="1080" w:type="dxa"/>
            <w:tcBorders>
              <w:top w:val="single" w:sz="6" w:space="0" w:color="000000"/>
              <w:left w:val="single" w:sz="6" w:space="0" w:color="000000"/>
              <w:bottom w:val="single" w:sz="6" w:space="0" w:color="000000"/>
              <w:right w:val="single" w:sz="6" w:space="0" w:color="000000"/>
            </w:tcBorders>
            <w:vAlign w:val="center"/>
          </w:tcPr>
          <w:p w14:paraId="7DBEED2D" w14:textId="77777777" w:rsidR="00CB35B6" w:rsidRPr="00DF4B7A" w:rsidRDefault="00CB35B6" w:rsidP="00D8394C">
            <w:pPr>
              <w:spacing w:after="14"/>
            </w:pPr>
            <w:r w:rsidRPr="00DF4B7A">
              <w:rPr>
                <w:sz w:val="22"/>
                <w:szCs w:val="22"/>
              </w:rPr>
              <w:t>Y</w:t>
            </w:r>
          </w:p>
        </w:tc>
        <w:tc>
          <w:tcPr>
            <w:tcW w:w="5130" w:type="dxa"/>
            <w:tcBorders>
              <w:top w:val="single" w:sz="6" w:space="0" w:color="000000"/>
              <w:left w:val="single" w:sz="6" w:space="0" w:color="000000"/>
              <w:bottom w:val="single" w:sz="6" w:space="0" w:color="000000"/>
              <w:right w:val="single" w:sz="6" w:space="0" w:color="000000"/>
            </w:tcBorders>
            <w:vAlign w:val="center"/>
          </w:tcPr>
          <w:p w14:paraId="209DCEB6" w14:textId="77777777" w:rsidR="00CB35B6" w:rsidRPr="00DF4B7A" w:rsidRDefault="00CB35B6" w:rsidP="00D8394C">
            <w:pPr>
              <w:tabs>
                <w:tab w:val="left" w:pos="1443"/>
              </w:tabs>
              <w:spacing w:after="14"/>
            </w:pPr>
            <w:r w:rsidRPr="00DF4B7A">
              <w:rPr>
                <w:sz w:val="22"/>
                <w:szCs w:val="22"/>
              </w:rPr>
              <w:t>Applies to all owner or operators of stationary combustion equipment</w:t>
            </w:r>
            <w:r w:rsidR="003420B1">
              <w:rPr>
                <w:sz w:val="22"/>
                <w:szCs w:val="22"/>
              </w:rPr>
              <w:t xml:space="preserve">,  </w:t>
            </w:r>
            <w:r w:rsidR="003420B1" w:rsidRPr="0013681D">
              <w:rPr>
                <w:sz w:val="22"/>
                <w:szCs w:val="22"/>
              </w:rPr>
              <w:t>HOBB-1, HOBB-2, DB-1, DB-2, FH-1, FH-2, FH-3, G-1 and FP-1</w:t>
            </w:r>
          </w:p>
        </w:tc>
      </w:tr>
      <w:tr w:rsidR="00CB35B6" w:rsidRPr="00237225" w14:paraId="564F3E21" w14:textId="77777777" w:rsidTr="00D8394C">
        <w:trPr>
          <w:cantSplit/>
          <w:jc w:val="center"/>
        </w:trPr>
        <w:tc>
          <w:tcPr>
            <w:tcW w:w="900" w:type="dxa"/>
            <w:tcBorders>
              <w:top w:val="single" w:sz="6" w:space="0" w:color="000000"/>
              <w:left w:val="single" w:sz="6" w:space="0" w:color="000000"/>
              <w:bottom w:val="single" w:sz="6" w:space="0" w:color="000000"/>
              <w:right w:val="single" w:sz="6" w:space="0" w:color="000000"/>
            </w:tcBorders>
            <w:vAlign w:val="center"/>
          </w:tcPr>
          <w:p w14:paraId="38A6F45B" w14:textId="77777777" w:rsidR="00CB35B6" w:rsidRPr="00DF4B7A" w:rsidRDefault="00CB35B6" w:rsidP="00D8394C">
            <w:pPr>
              <w:spacing w:after="14"/>
              <w:rPr>
                <w:b/>
                <w:bCs/>
              </w:rPr>
            </w:pPr>
            <w:r w:rsidRPr="00DF4B7A">
              <w:rPr>
                <w:b/>
                <w:bCs/>
                <w:sz w:val="22"/>
                <w:szCs w:val="22"/>
              </w:rPr>
              <w:t>2.70</w:t>
            </w:r>
          </w:p>
        </w:tc>
        <w:tc>
          <w:tcPr>
            <w:tcW w:w="2610" w:type="dxa"/>
            <w:tcBorders>
              <w:top w:val="single" w:sz="6" w:space="0" w:color="000000"/>
              <w:left w:val="single" w:sz="6" w:space="0" w:color="000000"/>
              <w:bottom w:val="single" w:sz="6" w:space="0" w:color="000000"/>
              <w:right w:val="single" w:sz="6" w:space="0" w:color="000000"/>
            </w:tcBorders>
            <w:vAlign w:val="center"/>
          </w:tcPr>
          <w:p w14:paraId="77F90B51" w14:textId="77777777" w:rsidR="00CB35B6" w:rsidRPr="00DF4B7A" w:rsidRDefault="00CB35B6" w:rsidP="00D8394C">
            <w:pPr>
              <w:spacing w:after="14"/>
            </w:pPr>
            <w:r w:rsidRPr="00DF4B7A">
              <w:rPr>
                <w:sz w:val="22"/>
                <w:szCs w:val="22"/>
              </w:rPr>
              <w:t>Operating Permits</w:t>
            </w:r>
          </w:p>
        </w:tc>
        <w:tc>
          <w:tcPr>
            <w:tcW w:w="1080" w:type="dxa"/>
            <w:tcBorders>
              <w:top w:val="single" w:sz="6" w:space="0" w:color="000000"/>
              <w:left w:val="single" w:sz="6" w:space="0" w:color="000000"/>
              <w:bottom w:val="single" w:sz="6" w:space="0" w:color="000000"/>
              <w:right w:val="single" w:sz="6" w:space="0" w:color="000000"/>
            </w:tcBorders>
            <w:vAlign w:val="center"/>
          </w:tcPr>
          <w:p w14:paraId="28340E79" w14:textId="77777777" w:rsidR="00CB35B6" w:rsidRPr="00DF4B7A" w:rsidRDefault="00CB35B6" w:rsidP="00D8394C">
            <w:pPr>
              <w:spacing w:after="14"/>
            </w:pPr>
            <w:r w:rsidRPr="00DF4B7A">
              <w:rPr>
                <w:sz w:val="22"/>
                <w:szCs w:val="22"/>
              </w:rPr>
              <w:t>Y</w:t>
            </w:r>
          </w:p>
        </w:tc>
        <w:tc>
          <w:tcPr>
            <w:tcW w:w="5130" w:type="dxa"/>
            <w:tcBorders>
              <w:top w:val="single" w:sz="6" w:space="0" w:color="000000"/>
              <w:left w:val="single" w:sz="6" w:space="0" w:color="000000"/>
              <w:bottom w:val="single" w:sz="6" w:space="0" w:color="000000"/>
              <w:right w:val="single" w:sz="6" w:space="0" w:color="000000"/>
            </w:tcBorders>
            <w:vAlign w:val="center"/>
          </w:tcPr>
          <w:p w14:paraId="701C0F19" w14:textId="77777777" w:rsidR="00CB35B6" w:rsidRDefault="00CB35B6" w:rsidP="00D8394C">
            <w:pPr>
              <w:tabs>
                <w:tab w:val="left" w:pos="1443"/>
              </w:tabs>
              <w:spacing w:after="14"/>
              <w:rPr>
                <w:sz w:val="22"/>
                <w:szCs w:val="22"/>
              </w:rPr>
            </w:pPr>
            <w:r w:rsidRPr="00DF4B7A">
              <w:rPr>
                <w:sz w:val="22"/>
                <w:szCs w:val="22"/>
              </w:rPr>
              <w:t xml:space="preserve">PTE </w:t>
            </w:r>
            <w:r w:rsidRPr="00121E78">
              <w:rPr>
                <w:sz w:val="22"/>
                <w:szCs w:val="22"/>
              </w:rPr>
              <w:t xml:space="preserve">is </w:t>
            </w:r>
            <w:r w:rsidRPr="00DF4B7A">
              <w:rPr>
                <w:sz w:val="22"/>
                <w:szCs w:val="22"/>
              </w:rPr>
              <w:t>&gt; 100 TPY for NO</w:t>
            </w:r>
            <w:r w:rsidRPr="00121E78">
              <w:rPr>
                <w:sz w:val="22"/>
                <w:szCs w:val="22"/>
                <w:vertAlign w:val="subscript"/>
              </w:rPr>
              <w:t>X</w:t>
            </w:r>
            <w:r>
              <w:rPr>
                <w:sz w:val="22"/>
                <w:szCs w:val="22"/>
                <w:vertAlign w:val="subscript"/>
              </w:rPr>
              <w:t xml:space="preserve">, </w:t>
            </w:r>
            <w:r>
              <w:rPr>
                <w:sz w:val="22"/>
                <w:szCs w:val="22"/>
              </w:rPr>
              <w:t>TSP, PM10,</w:t>
            </w:r>
            <w:r w:rsidRPr="00DF4B7A">
              <w:rPr>
                <w:sz w:val="22"/>
                <w:szCs w:val="22"/>
              </w:rPr>
              <w:t xml:space="preserve"> and CO.</w:t>
            </w:r>
          </w:p>
          <w:p w14:paraId="7F7C156F" w14:textId="77777777" w:rsidR="00CB35B6" w:rsidRPr="00DF4B7A" w:rsidRDefault="00CB35B6" w:rsidP="00D8394C">
            <w:pPr>
              <w:tabs>
                <w:tab w:val="left" w:pos="1443"/>
              </w:tabs>
              <w:spacing w:after="14"/>
            </w:pPr>
            <w:r>
              <w:rPr>
                <w:sz w:val="22"/>
                <w:szCs w:val="22"/>
              </w:rPr>
              <w:t>PTE is &gt; 100,000 TPY for CO2e</w:t>
            </w:r>
          </w:p>
        </w:tc>
      </w:tr>
      <w:tr w:rsidR="00CB35B6" w:rsidRPr="00237225" w14:paraId="50F4A317" w14:textId="77777777" w:rsidTr="00D8394C">
        <w:trPr>
          <w:cantSplit/>
          <w:jc w:val="center"/>
        </w:trPr>
        <w:tc>
          <w:tcPr>
            <w:tcW w:w="900" w:type="dxa"/>
            <w:tcBorders>
              <w:top w:val="single" w:sz="6" w:space="0" w:color="000000"/>
              <w:left w:val="single" w:sz="6" w:space="0" w:color="000000"/>
              <w:bottom w:val="single" w:sz="6" w:space="0" w:color="000000"/>
              <w:right w:val="single" w:sz="6" w:space="0" w:color="000000"/>
            </w:tcBorders>
            <w:vAlign w:val="center"/>
          </w:tcPr>
          <w:p w14:paraId="390F6D1A" w14:textId="77777777" w:rsidR="00CB35B6" w:rsidRPr="00DF4B7A" w:rsidRDefault="00CB35B6" w:rsidP="00D8394C">
            <w:pPr>
              <w:spacing w:after="14"/>
              <w:rPr>
                <w:b/>
                <w:bCs/>
              </w:rPr>
            </w:pPr>
            <w:r w:rsidRPr="00DF4B7A">
              <w:rPr>
                <w:b/>
                <w:bCs/>
                <w:sz w:val="22"/>
                <w:szCs w:val="22"/>
              </w:rPr>
              <w:t>2.71</w:t>
            </w:r>
          </w:p>
        </w:tc>
        <w:tc>
          <w:tcPr>
            <w:tcW w:w="2610" w:type="dxa"/>
            <w:tcBorders>
              <w:top w:val="single" w:sz="6" w:space="0" w:color="000000"/>
              <w:left w:val="single" w:sz="6" w:space="0" w:color="000000"/>
              <w:bottom w:val="single" w:sz="6" w:space="0" w:color="000000"/>
              <w:right w:val="single" w:sz="6" w:space="0" w:color="000000"/>
            </w:tcBorders>
            <w:vAlign w:val="center"/>
          </w:tcPr>
          <w:p w14:paraId="1FD9549D" w14:textId="77777777" w:rsidR="00CB35B6" w:rsidRPr="00DF4B7A" w:rsidRDefault="00CB35B6" w:rsidP="00D8394C">
            <w:pPr>
              <w:spacing w:after="14"/>
            </w:pPr>
            <w:r w:rsidRPr="00DF4B7A">
              <w:rPr>
                <w:sz w:val="22"/>
                <w:szCs w:val="22"/>
              </w:rPr>
              <w:t>Operating Permit Fees</w:t>
            </w:r>
          </w:p>
        </w:tc>
        <w:tc>
          <w:tcPr>
            <w:tcW w:w="1080" w:type="dxa"/>
            <w:tcBorders>
              <w:top w:val="single" w:sz="6" w:space="0" w:color="000000"/>
              <w:left w:val="single" w:sz="6" w:space="0" w:color="000000"/>
              <w:bottom w:val="single" w:sz="6" w:space="0" w:color="000000"/>
              <w:right w:val="single" w:sz="6" w:space="0" w:color="000000"/>
            </w:tcBorders>
            <w:vAlign w:val="center"/>
          </w:tcPr>
          <w:p w14:paraId="6F8FE087" w14:textId="77777777" w:rsidR="00CB35B6" w:rsidRPr="00DF4B7A" w:rsidRDefault="00CB35B6" w:rsidP="00D8394C">
            <w:pPr>
              <w:spacing w:after="14"/>
            </w:pPr>
            <w:r w:rsidRPr="00DF4B7A">
              <w:rPr>
                <w:sz w:val="22"/>
                <w:szCs w:val="22"/>
              </w:rPr>
              <w:t>Y</w:t>
            </w:r>
          </w:p>
        </w:tc>
        <w:tc>
          <w:tcPr>
            <w:tcW w:w="5130" w:type="dxa"/>
            <w:tcBorders>
              <w:top w:val="single" w:sz="6" w:space="0" w:color="000000"/>
              <w:left w:val="single" w:sz="6" w:space="0" w:color="000000"/>
              <w:bottom w:val="single" w:sz="6" w:space="0" w:color="000000"/>
              <w:right w:val="single" w:sz="6" w:space="0" w:color="000000"/>
            </w:tcBorders>
            <w:vAlign w:val="center"/>
          </w:tcPr>
          <w:p w14:paraId="7DA57E8B" w14:textId="77777777" w:rsidR="00CB35B6" w:rsidRPr="00DF4B7A" w:rsidRDefault="00CB35B6" w:rsidP="00D8394C">
            <w:pPr>
              <w:tabs>
                <w:tab w:val="left" w:pos="1443"/>
              </w:tabs>
              <w:spacing w:after="14"/>
            </w:pPr>
            <w:r w:rsidRPr="00DF4B7A">
              <w:rPr>
                <w:sz w:val="22"/>
                <w:szCs w:val="22"/>
              </w:rPr>
              <w:t xml:space="preserve">PTE </w:t>
            </w:r>
            <w:r w:rsidRPr="00121E78">
              <w:rPr>
                <w:sz w:val="22"/>
                <w:szCs w:val="22"/>
              </w:rPr>
              <w:t xml:space="preserve">is </w:t>
            </w:r>
            <w:r w:rsidRPr="00DF4B7A">
              <w:rPr>
                <w:sz w:val="22"/>
                <w:szCs w:val="22"/>
              </w:rPr>
              <w:t>&gt; 100 TPY for NO</w:t>
            </w:r>
            <w:r w:rsidRPr="00121E78">
              <w:rPr>
                <w:sz w:val="22"/>
                <w:szCs w:val="22"/>
                <w:vertAlign w:val="subscript"/>
              </w:rPr>
              <w:t>X</w:t>
            </w:r>
            <w:r>
              <w:rPr>
                <w:sz w:val="22"/>
                <w:szCs w:val="22"/>
                <w:vertAlign w:val="subscript"/>
              </w:rPr>
              <w:t xml:space="preserve">, </w:t>
            </w:r>
            <w:r>
              <w:rPr>
                <w:sz w:val="22"/>
                <w:szCs w:val="22"/>
              </w:rPr>
              <w:t>TSP, PM10,</w:t>
            </w:r>
            <w:r w:rsidRPr="00DF4B7A">
              <w:rPr>
                <w:sz w:val="22"/>
                <w:szCs w:val="22"/>
              </w:rPr>
              <w:t xml:space="preserve"> and CO.</w:t>
            </w:r>
          </w:p>
        </w:tc>
      </w:tr>
      <w:tr w:rsidR="00CB35B6" w:rsidRPr="00237225" w14:paraId="3D72BD9C" w14:textId="77777777" w:rsidTr="00D8394C">
        <w:trPr>
          <w:cantSplit/>
          <w:jc w:val="center"/>
        </w:trPr>
        <w:tc>
          <w:tcPr>
            <w:tcW w:w="900" w:type="dxa"/>
            <w:tcBorders>
              <w:top w:val="single" w:sz="6" w:space="0" w:color="000000"/>
              <w:left w:val="single" w:sz="6" w:space="0" w:color="000000"/>
              <w:bottom w:val="single" w:sz="6" w:space="0" w:color="000000"/>
              <w:right w:val="single" w:sz="6" w:space="0" w:color="000000"/>
            </w:tcBorders>
            <w:vAlign w:val="center"/>
          </w:tcPr>
          <w:p w14:paraId="5421884A" w14:textId="77777777" w:rsidR="00CB35B6" w:rsidRPr="00DF4B7A" w:rsidRDefault="00CB35B6" w:rsidP="00D8394C">
            <w:pPr>
              <w:spacing w:after="14"/>
              <w:rPr>
                <w:b/>
                <w:bCs/>
              </w:rPr>
            </w:pPr>
            <w:r w:rsidRPr="00DF4B7A">
              <w:rPr>
                <w:b/>
                <w:bCs/>
                <w:sz w:val="22"/>
                <w:szCs w:val="22"/>
              </w:rPr>
              <w:t>2.72</w:t>
            </w:r>
          </w:p>
        </w:tc>
        <w:tc>
          <w:tcPr>
            <w:tcW w:w="2610" w:type="dxa"/>
            <w:tcBorders>
              <w:top w:val="single" w:sz="6" w:space="0" w:color="000000"/>
              <w:left w:val="single" w:sz="6" w:space="0" w:color="000000"/>
              <w:bottom w:val="single" w:sz="6" w:space="0" w:color="000000"/>
              <w:right w:val="single" w:sz="6" w:space="0" w:color="000000"/>
            </w:tcBorders>
            <w:vAlign w:val="center"/>
          </w:tcPr>
          <w:p w14:paraId="25765E0B" w14:textId="77777777" w:rsidR="00CB35B6" w:rsidRPr="00DF4B7A" w:rsidRDefault="00CB35B6" w:rsidP="00D8394C">
            <w:pPr>
              <w:spacing w:after="14"/>
            </w:pPr>
            <w:r w:rsidRPr="00DF4B7A">
              <w:rPr>
                <w:sz w:val="22"/>
                <w:szCs w:val="22"/>
              </w:rPr>
              <w:t>Construction Permits</w:t>
            </w:r>
          </w:p>
        </w:tc>
        <w:tc>
          <w:tcPr>
            <w:tcW w:w="1080" w:type="dxa"/>
            <w:tcBorders>
              <w:top w:val="single" w:sz="6" w:space="0" w:color="000000"/>
              <w:left w:val="single" w:sz="6" w:space="0" w:color="000000"/>
              <w:bottom w:val="single" w:sz="6" w:space="0" w:color="000000"/>
              <w:right w:val="single" w:sz="6" w:space="0" w:color="000000"/>
            </w:tcBorders>
            <w:vAlign w:val="center"/>
          </w:tcPr>
          <w:p w14:paraId="490299B2" w14:textId="77777777" w:rsidR="00CB35B6" w:rsidRPr="00DF4B7A" w:rsidRDefault="00CB35B6" w:rsidP="00D8394C">
            <w:pPr>
              <w:spacing w:after="14"/>
            </w:pPr>
            <w:r w:rsidRPr="00DF4B7A">
              <w:rPr>
                <w:sz w:val="22"/>
                <w:szCs w:val="22"/>
              </w:rPr>
              <w:t>Y</w:t>
            </w:r>
          </w:p>
        </w:tc>
        <w:tc>
          <w:tcPr>
            <w:tcW w:w="5130" w:type="dxa"/>
            <w:tcBorders>
              <w:top w:val="single" w:sz="6" w:space="0" w:color="000000"/>
              <w:left w:val="single" w:sz="6" w:space="0" w:color="000000"/>
              <w:bottom w:val="single" w:sz="6" w:space="0" w:color="000000"/>
              <w:right w:val="single" w:sz="6" w:space="0" w:color="000000"/>
            </w:tcBorders>
            <w:vAlign w:val="center"/>
          </w:tcPr>
          <w:p w14:paraId="03CF295E" w14:textId="77777777" w:rsidR="00CB35B6" w:rsidRPr="00DF4B7A" w:rsidRDefault="00CB35B6" w:rsidP="00D8394C">
            <w:pPr>
              <w:tabs>
                <w:tab w:val="left" w:pos="1443"/>
              </w:tabs>
              <w:spacing w:after="14"/>
            </w:pPr>
            <w:r w:rsidRPr="00DF4B7A">
              <w:rPr>
                <w:sz w:val="22"/>
                <w:szCs w:val="22"/>
              </w:rPr>
              <w:t>Section 200.A.1 is applicable.</w:t>
            </w:r>
          </w:p>
        </w:tc>
      </w:tr>
      <w:tr w:rsidR="00CB35B6" w:rsidRPr="00237225" w14:paraId="3E8A84F7" w14:textId="77777777" w:rsidTr="00D8394C">
        <w:trPr>
          <w:cantSplit/>
          <w:jc w:val="center"/>
        </w:trPr>
        <w:tc>
          <w:tcPr>
            <w:tcW w:w="900" w:type="dxa"/>
            <w:tcBorders>
              <w:top w:val="single" w:sz="6" w:space="0" w:color="000000"/>
              <w:left w:val="single" w:sz="6" w:space="0" w:color="000000"/>
              <w:bottom w:val="single" w:sz="6" w:space="0" w:color="000000"/>
              <w:right w:val="single" w:sz="6" w:space="0" w:color="000000"/>
            </w:tcBorders>
            <w:vAlign w:val="center"/>
          </w:tcPr>
          <w:p w14:paraId="75E0E7EE" w14:textId="77777777" w:rsidR="00CB35B6" w:rsidRPr="00DF4B7A" w:rsidRDefault="00CB35B6" w:rsidP="00D8394C">
            <w:pPr>
              <w:spacing w:after="14"/>
              <w:rPr>
                <w:b/>
                <w:bCs/>
              </w:rPr>
            </w:pPr>
            <w:r w:rsidRPr="00DF4B7A">
              <w:rPr>
                <w:b/>
                <w:bCs/>
                <w:sz w:val="22"/>
                <w:szCs w:val="22"/>
              </w:rPr>
              <w:t>2.73</w:t>
            </w:r>
          </w:p>
        </w:tc>
        <w:tc>
          <w:tcPr>
            <w:tcW w:w="2610" w:type="dxa"/>
            <w:tcBorders>
              <w:top w:val="single" w:sz="6" w:space="0" w:color="000000"/>
              <w:left w:val="single" w:sz="6" w:space="0" w:color="000000"/>
              <w:bottom w:val="single" w:sz="6" w:space="0" w:color="000000"/>
              <w:right w:val="single" w:sz="6" w:space="0" w:color="000000"/>
            </w:tcBorders>
            <w:vAlign w:val="center"/>
          </w:tcPr>
          <w:p w14:paraId="502E82A1" w14:textId="77777777" w:rsidR="00CB35B6" w:rsidRPr="00DF4B7A" w:rsidRDefault="00CB35B6" w:rsidP="00D8394C">
            <w:pPr>
              <w:spacing w:after="14"/>
            </w:pPr>
            <w:r w:rsidRPr="00DF4B7A">
              <w:rPr>
                <w:sz w:val="22"/>
                <w:szCs w:val="22"/>
              </w:rPr>
              <w:t>NOI &amp; Emissions Inventory Requirements</w:t>
            </w:r>
          </w:p>
        </w:tc>
        <w:tc>
          <w:tcPr>
            <w:tcW w:w="1080" w:type="dxa"/>
            <w:tcBorders>
              <w:top w:val="single" w:sz="6" w:space="0" w:color="000000"/>
              <w:left w:val="single" w:sz="6" w:space="0" w:color="000000"/>
              <w:bottom w:val="single" w:sz="6" w:space="0" w:color="000000"/>
              <w:right w:val="single" w:sz="6" w:space="0" w:color="000000"/>
            </w:tcBorders>
            <w:vAlign w:val="center"/>
          </w:tcPr>
          <w:p w14:paraId="23564D5B" w14:textId="77777777" w:rsidR="00CB35B6" w:rsidRPr="00DF4B7A" w:rsidRDefault="00CB35B6" w:rsidP="00D8394C">
            <w:pPr>
              <w:spacing w:after="14"/>
            </w:pPr>
            <w:r w:rsidRPr="00DF4B7A">
              <w:rPr>
                <w:sz w:val="22"/>
                <w:szCs w:val="22"/>
              </w:rPr>
              <w:t>Y</w:t>
            </w:r>
          </w:p>
        </w:tc>
        <w:tc>
          <w:tcPr>
            <w:tcW w:w="5130" w:type="dxa"/>
            <w:tcBorders>
              <w:top w:val="single" w:sz="6" w:space="0" w:color="000000"/>
              <w:left w:val="single" w:sz="6" w:space="0" w:color="000000"/>
              <w:bottom w:val="single" w:sz="6" w:space="0" w:color="000000"/>
              <w:right w:val="single" w:sz="6" w:space="0" w:color="000000"/>
            </w:tcBorders>
            <w:vAlign w:val="center"/>
          </w:tcPr>
          <w:p w14:paraId="40E260FE" w14:textId="77777777" w:rsidR="00CB35B6" w:rsidRPr="00DF4B7A" w:rsidRDefault="00CB35B6" w:rsidP="00D8394C">
            <w:pPr>
              <w:tabs>
                <w:tab w:val="left" w:pos="1443"/>
              </w:tabs>
              <w:spacing w:after="14"/>
            </w:pPr>
            <w:r w:rsidRPr="00DF4B7A">
              <w:rPr>
                <w:sz w:val="22"/>
                <w:szCs w:val="22"/>
              </w:rPr>
              <w:t>Applicable to all facilities that require a permit.</w:t>
            </w:r>
          </w:p>
          <w:p w14:paraId="47AFCE4F" w14:textId="77777777" w:rsidR="00CB35B6" w:rsidRPr="00DF4B7A" w:rsidRDefault="00CB35B6" w:rsidP="00D8394C">
            <w:pPr>
              <w:tabs>
                <w:tab w:val="left" w:pos="1443"/>
              </w:tabs>
              <w:spacing w:after="14"/>
            </w:pPr>
            <w:r w:rsidRPr="00DF4B7A">
              <w:rPr>
                <w:sz w:val="22"/>
                <w:szCs w:val="22"/>
              </w:rPr>
              <w:t>PER &gt; 10 tpy for a criteria pollutant</w:t>
            </w:r>
          </w:p>
        </w:tc>
      </w:tr>
      <w:tr w:rsidR="00CB35B6" w:rsidRPr="00237225" w14:paraId="2108F776" w14:textId="77777777" w:rsidTr="00D8394C">
        <w:trPr>
          <w:cantSplit/>
          <w:jc w:val="center"/>
        </w:trPr>
        <w:tc>
          <w:tcPr>
            <w:tcW w:w="900" w:type="dxa"/>
            <w:tcBorders>
              <w:top w:val="single" w:sz="6" w:space="0" w:color="000000"/>
              <w:left w:val="single" w:sz="6" w:space="0" w:color="000000"/>
              <w:bottom w:val="single" w:sz="6" w:space="0" w:color="000000"/>
              <w:right w:val="single" w:sz="6" w:space="0" w:color="000000"/>
            </w:tcBorders>
            <w:vAlign w:val="center"/>
          </w:tcPr>
          <w:p w14:paraId="631BD085" w14:textId="77777777" w:rsidR="00CB35B6" w:rsidRPr="00DF4B7A" w:rsidRDefault="00CB35B6" w:rsidP="00D8394C">
            <w:pPr>
              <w:spacing w:after="14"/>
              <w:rPr>
                <w:b/>
                <w:bCs/>
              </w:rPr>
            </w:pPr>
            <w:r w:rsidRPr="00DF4B7A">
              <w:rPr>
                <w:b/>
                <w:bCs/>
                <w:sz w:val="22"/>
                <w:szCs w:val="22"/>
              </w:rPr>
              <w:t>2.74</w:t>
            </w:r>
          </w:p>
        </w:tc>
        <w:tc>
          <w:tcPr>
            <w:tcW w:w="2610" w:type="dxa"/>
            <w:tcBorders>
              <w:top w:val="single" w:sz="6" w:space="0" w:color="000000"/>
              <w:left w:val="single" w:sz="6" w:space="0" w:color="000000"/>
              <w:bottom w:val="single" w:sz="6" w:space="0" w:color="000000"/>
              <w:right w:val="single" w:sz="6" w:space="0" w:color="000000"/>
            </w:tcBorders>
            <w:vAlign w:val="center"/>
          </w:tcPr>
          <w:p w14:paraId="3D1B6186" w14:textId="77777777" w:rsidR="00CB35B6" w:rsidRPr="00DF4B7A" w:rsidRDefault="00CB35B6" w:rsidP="00D8394C">
            <w:pPr>
              <w:spacing w:after="14"/>
            </w:pPr>
            <w:r w:rsidRPr="00DF4B7A">
              <w:rPr>
                <w:sz w:val="22"/>
                <w:szCs w:val="22"/>
              </w:rPr>
              <w:t>Permits-Prevention of Significant Deterioration</w:t>
            </w:r>
          </w:p>
        </w:tc>
        <w:tc>
          <w:tcPr>
            <w:tcW w:w="1080" w:type="dxa"/>
            <w:tcBorders>
              <w:top w:val="single" w:sz="6" w:space="0" w:color="000000"/>
              <w:left w:val="single" w:sz="6" w:space="0" w:color="000000"/>
              <w:bottom w:val="single" w:sz="6" w:space="0" w:color="000000"/>
              <w:right w:val="single" w:sz="6" w:space="0" w:color="000000"/>
            </w:tcBorders>
            <w:vAlign w:val="center"/>
          </w:tcPr>
          <w:p w14:paraId="5E791809" w14:textId="77777777" w:rsidR="00CB35B6" w:rsidRPr="00DF4B7A" w:rsidRDefault="00CB35B6" w:rsidP="00D8394C">
            <w:pPr>
              <w:spacing w:after="14"/>
            </w:pPr>
            <w:r w:rsidRPr="00DF4B7A">
              <w:rPr>
                <w:sz w:val="22"/>
                <w:szCs w:val="22"/>
              </w:rPr>
              <w:t>Y</w:t>
            </w:r>
          </w:p>
        </w:tc>
        <w:tc>
          <w:tcPr>
            <w:tcW w:w="5130" w:type="dxa"/>
            <w:tcBorders>
              <w:top w:val="single" w:sz="6" w:space="0" w:color="000000"/>
              <w:left w:val="single" w:sz="6" w:space="0" w:color="000000"/>
              <w:bottom w:val="single" w:sz="6" w:space="0" w:color="000000"/>
              <w:right w:val="single" w:sz="6" w:space="0" w:color="000000"/>
            </w:tcBorders>
            <w:vAlign w:val="center"/>
          </w:tcPr>
          <w:p w14:paraId="71889D57" w14:textId="7C261400" w:rsidR="00E90A5E" w:rsidRPr="0018090B" w:rsidRDefault="00CB35B6" w:rsidP="00D8394C">
            <w:pPr>
              <w:tabs>
                <w:tab w:val="left" w:pos="1443"/>
              </w:tabs>
              <w:spacing w:after="14"/>
              <w:rPr>
                <w:sz w:val="22"/>
                <w:szCs w:val="22"/>
              </w:rPr>
            </w:pPr>
            <w:r w:rsidRPr="00DF4B7A">
              <w:rPr>
                <w:sz w:val="22"/>
                <w:szCs w:val="22"/>
              </w:rPr>
              <w:t xml:space="preserve">Source </w:t>
            </w:r>
            <w:r w:rsidRPr="00121E78">
              <w:rPr>
                <w:sz w:val="22"/>
                <w:szCs w:val="22"/>
              </w:rPr>
              <w:t>is</w:t>
            </w:r>
            <w:r w:rsidRPr="00DF4B7A">
              <w:rPr>
                <w:sz w:val="22"/>
                <w:szCs w:val="22"/>
              </w:rPr>
              <w:t xml:space="preserve"> one of the 28 listed – PTE &gt; 100 tpy </w:t>
            </w:r>
            <w:r>
              <w:rPr>
                <w:sz w:val="22"/>
                <w:szCs w:val="22"/>
              </w:rPr>
              <w:t xml:space="preserve">for </w:t>
            </w:r>
            <w:r w:rsidRPr="00DF4B7A">
              <w:rPr>
                <w:sz w:val="22"/>
                <w:szCs w:val="22"/>
              </w:rPr>
              <w:t>NO</w:t>
            </w:r>
            <w:r w:rsidRPr="00121E78">
              <w:rPr>
                <w:sz w:val="22"/>
                <w:szCs w:val="22"/>
                <w:vertAlign w:val="subscript"/>
              </w:rPr>
              <w:t>X</w:t>
            </w:r>
            <w:r>
              <w:rPr>
                <w:sz w:val="22"/>
                <w:szCs w:val="22"/>
                <w:vertAlign w:val="subscript"/>
              </w:rPr>
              <w:t xml:space="preserve">, </w:t>
            </w:r>
            <w:r>
              <w:rPr>
                <w:sz w:val="22"/>
                <w:szCs w:val="22"/>
              </w:rPr>
              <w:t>TSP, PM10,</w:t>
            </w:r>
            <w:r w:rsidRPr="00DF4B7A">
              <w:rPr>
                <w:sz w:val="22"/>
                <w:szCs w:val="22"/>
              </w:rPr>
              <w:t xml:space="preserve"> and CO.</w:t>
            </w:r>
            <w:r>
              <w:rPr>
                <w:sz w:val="22"/>
                <w:szCs w:val="22"/>
              </w:rPr>
              <w:t xml:space="preserve"> PSD Permit 3449.</w:t>
            </w:r>
          </w:p>
        </w:tc>
      </w:tr>
      <w:tr w:rsidR="00CB35B6" w:rsidRPr="00237225" w14:paraId="24458076" w14:textId="77777777" w:rsidTr="00D8394C">
        <w:trPr>
          <w:cantSplit/>
          <w:jc w:val="center"/>
        </w:trPr>
        <w:tc>
          <w:tcPr>
            <w:tcW w:w="900" w:type="dxa"/>
            <w:tcBorders>
              <w:top w:val="single" w:sz="6" w:space="0" w:color="000000"/>
              <w:left w:val="single" w:sz="6" w:space="0" w:color="000000"/>
              <w:bottom w:val="single" w:sz="6" w:space="0" w:color="000000"/>
              <w:right w:val="single" w:sz="6" w:space="0" w:color="000000"/>
            </w:tcBorders>
            <w:vAlign w:val="center"/>
          </w:tcPr>
          <w:p w14:paraId="700A3039" w14:textId="77777777" w:rsidR="00CB35B6" w:rsidRPr="00DF4B7A" w:rsidRDefault="00CB35B6" w:rsidP="00D8394C">
            <w:pPr>
              <w:spacing w:after="14"/>
              <w:rPr>
                <w:b/>
                <w:bCs/>
              </w:rPr>
            </w:pPr>
            <w:r w:rsidRPr="00DF4B7A">
              <w:rPr>
                <w:b/>
                <w:bCs/>
                <w:sz w:val="22"/>
                <w:szCs w:val="22"/>
              </w:rPr>
              <w:t>2.75</w:t>
            </w:r>
          </w:p>
        </w:tc>
        <w:tc>
          <w:tcPr>
            <w:tcW w:w="2610" w:type="dxa"/>
            <w:tcBorders>
              <w:top w:val="single" w:sz="6" w:space="0" w:color="000000"/>
              <w:left w:val="single" w:sz="6" w:space="0" w:color="000000"/>
              <w:bottom w:val="single" w:sz="6" w:space="0" w:color="000000"/>
              <w:right w:val="single" w:sz="6" w:space="0" w:color="000000"/>
            </w:tcBorders>
            <w:vAlign w:val="center"/>
          </w:tcPr>
          <w:p w14:paraId="51E8EA0D" w14:textId="77777777" w:rsidR="00CB35B6" w:rsidRPr="00DF4B7A" w:rsidRDefault="00CB35B6" w:rsidP="00D8394C">
            <w:pPr>
              <w:spacing w:after="14"/>
            </w:pPr>
            <w:r w:rsidRPr="00DF4B7A">
              <w:rPr>
                <w:sz w:val="22"/>
                <w:szCs w:val="22"/>
              </w:rPr>
              <w:t>Construction Permit Fees</w:t>
            </w:r>
          </w:p>
        </w:tc>
        <w:tc>
          <w:tcPr>
            <w:tcW w:w="1080" w:type="dxa"/>
            <w:tcBorders>
              <w:top w:val="single" w:sz="6" w:space="0" w:color="000000"/>
              <w:left w:val="single" w:sz="6" w:space="0" w:color="000000"/>
              <w:bottom w:val="single" w:sz="6" w:space="0" w:color="000000"/>
              <w:right w:val="single" w:sz="6" w:space="0" w:color="000000"/>
            </w:tcBorders>
            <w:vAlign w:val="center"/>
          </w:tcPr>
          <w:p w14:paraId="6F67CB90" w14:textId="77777777" w:rsidR="00CB35B6" w:rsidRPr="00DF4B7A" w:rsidRDefault="00CB35B6" w:rsidP="00D8394C">
            <w:pPr>
              <w:spacing w:after="14"/>
            </w:pPr>
            <w:r w:rsidRPr="00DF4B7A">
              <w:rPr>
                <w:sz w:val="22"/>
                <w:szCs w:val="22"/>
              </w:rPr>
              <w:t>Y</w:t>
            </w:r>
          </w:p>
        </w:tc>
        <w:tc>
          <w:tcPr>
            <w:tcW w:w="5130" w:type="dxa"/>
            <w:tcBorders>
              <w:top w:val="single" w:sz="6" w:space="0" w:color="000000"/>
              <w:left w:val="single" w:sz="6" w:space="0" w:color="000000"/>
              <w:bottom w:val="single" w:sz="6" w:space="0" w:color="000000"/>
              <w:right w:val="single" w:sz="6" w:space="0" w:color="000000"/>
            </w:tcBorders>
            <w:vAlign w:val="center"/>
          </w:tcPr>
          <w:p w14:paraId="7BF94127" w14:textId="77777777" w:rsidR="00CB35B6" w:rsidRPr="00DF4B7A" w:rsidRDefault="00CB35B6" w:rsidP="00D8394C">
            <w:pPr>
              <w:tabs>
                <w:tab w:val="left" w:pos="1443"/>
              </w:tabs>
              <w:spacing w:after="14"/>
            </w:pPr>
            <w:r w:rsidRPr="00DF4B7A">
              <w:rPr>
                <w:sz w:val="22"/>
                <w:szCs w:val="22"/>
              </w:rPr>
              <w:t>Subject to 20</w:t>
            </w:r>
            <w:r>
              <w:rPr>
                <w:sz w:val="22"/>
                <w:szCs w:val="22"/>
              </w:rPr>
              <w:t>.2.72 NMAC.</w:t>
            </w:r>
          </w:p>
        </w:tc>
      </w:tr>
      <w:tr w:rsidR="00CB35B6" w:rsidRPr="00237225" w14:paraId="088D442D" w14:textId="77777777" w:rsidTr="00D8394C">
        <w:trPr>
          <w:cantSplit/>
          <w:jc w:val="center"/>
        </w:trPr>
        <w:tc>
          <w:tcPr>
            <w:tcW w:w="900" w:type="dxa"/>
            <w:tcBorders>
              <w:top w:val="single" w:sz="6" w:space="0" w:color="000000"/>
              <w:left w:val="single" w:sz="6" w:space="0" w:color="000000"/>
              <w:bottom w:val="single" w:sz="6" w:space="0" w:color="000000"/>
              <w:right w:val="single" w:sz="6" w:space="0" w:color="000000"/>
            </w:tcBorders>
            <w:vAlign w:val="center"/>
          </w:tcPr>
          <w:p w14:paraId="195DFC1F" w14:textId="77777777" w:rsidR="00CB35B6" w:rsidRPr="00DF4B7A" w:rsidRDefault="00CB35B6" w:rsidP="00D8394C">
            <w:pPr>
              <w:spacing w:after="14"/>
              <w:rPr>
                <w:b/>
                <w:bCs/>
              </w:rPr>
            </w:pPr>
            <w:r w:rsidRPr="00DF4B7A">
              <w:rPr>
                <w:b/>
                <w:bCs/>
                <w:sz w:val="22"/>
                <w:szCs w:val="22"/>
              </w:rPr>
              <w:t>2.77</w:t>
            </w:r>
          </w:p>
        </w:tc>
        <w:tc>
          <w:tcPr>
            <w:tcW w:w="2610" w:type="dxa"/>
            <w:tcBorders>
              <w:top w:val="single" w:sz="6" w:space="0" w:color="000000"/>
              <w:left w:val="single" w:sz="6" w:space="0" w:color="000000"/>
              <w:bottom w:val="single" w:sz="6" w:space="0" w:color="000000"/>
              <w:right w:val="single" w:sz="6" w:space="0" w:color="000000"/>
            </w:tcBorders>
            <w:vAlign w:val="center"/>
          </w:tcPr>
          <w:p w14:paraId="459DEF27" w14:textId="77777777" w:rsidR="00CB35B6" w:rsidRPr="00DF4B7A" w:rsidRDefault="00CB35B6" w:rsidP="00D8394C">
            <w:pPr>
              <w:spacing w:after="14"/>
            </w:pPr>
            <w:r w:rsidRPr="00DF4B7A">
              <w:rPr>
                <w:sz w:val="22"/>
                <w:szCs w:val="22"/>
              </w:rPr>
              <w:t>New Source Performance</w:t>
            </w:r>
          </w:p>
        </w:tc>
        <w:tc>
          <w:tcPr>
            <w:tcW w:w="1080" w:type="dxa"/>
            <w:tcBorders>
              <w:top w:val="single" w:sz="6" w:space="0" w:color="000000"/>
              <w:left w:val="single" w:sz="6" w:space="0" w:color="000000"/>
              <w:bottom w:val="single" w:sz="6" w:space="0" w:color="000000"/>
              <w:right w:val="single" w:sz="6" w:space="0" w:color="000000"/>
            </w:tcBorders>
            <w:vAlign w:val="center"/>
          </w:tcPr>
          <w:p w14:paraId="56EC865B" w14:textId="77777777" w:rsidR="00CB35B6" w:rsidRPr="00DF4B7A" w:rsidRDefault="00CB35B6" w:rsidP="00D8394C">
            <w:pPr>
              <w:spacing w:after="14"/>
            </w:pPr>
            <w:r w:rsidRPr="00DF4B7A">
              <w:rPr>
                <w:sz w:val="22"/>
                <w:szCs w:val="22"/>
              </w:rPr>
              <w:t>Y</w:t>
            </w:r>
          </w:p>
        </w:tc>
        <w:tc>
          <w:tcPr>
            <w:tcW w:w="5130" w:type="dxa"/>
            <w:tcBorders>
              <w:top w:val="single" w:sz="6" w:space="0" w:color="000000"/>
              <w:left w:val="single" w:sz="6" w:space="0" w:color="000000"/>
              <w:bottom w:val="single" w:sz="6" w:space="0" w:color="000000"/>
              <w:right w:val="single" w:sz="6" w:space="0" w:color="000000"/>
            </w:tcBorders>
            <w:vAlign w:val="center"/>
          </w:tcPr>
          <w:p w14:paraId="4AEB2D12" w14:textId="54A67D1E" w:rsidR="00E90A5E" w:rsidRDefault="00E90A5E" w:rsidP="00E90A5E">
            <w:pPr>
              <w:spacing w:after="14"/>
              <w:rPr>
                <w:sz w:val="22"/>
                <w:szCs w:val="22"/>
              </w:rPr>
            </w:pPr>
            <w:r>
              <w:rPr>
                <w:sz w:val="22"/>
                <w:szCs w:val="22"/>
              </w:rPr>
              <w:t>Applies to Hobb-1, Hobb-2, DB-1, DB-2</w:t>
            </w:r>
            <w:r w:rsidR="00D0687D">
              <w:rPr>
                <w:sz w:val="22"/>
                <w:szCs w:val="22"/>
              </w:rPr>
              <w:t xml:space="preserve"> and G-1</w:t>
            </w:r>
            <w:r>
              <w:rPr>
                <w:sz w:val="22"/>
                <w:szCs w:val="22"/>
              </w:rPr>
              <w:t xml:space="preserve">. </w:t>
            </w:r>
          </w:p>
          <w:p w14:paraId="3B2CE77A" w14:textId="77777777" w:rsidR="00E90A5E" w:rsidRDefault="00E90A5E" w:rsidP="00E90A5E">
            <w:pPr>
              <w:spacing w:after="14"/>
              <w:rPr>
                <w:sz w:val="22"/>
                <w:szCs w:val="22"/>
              </w:rPr>
            </w:pPr>
            <w:r w:rsidRPr="00DF4B7A">
              <w:rPr>
                <w:sz w:val="22"/>
                <w:szCs w:val="22"/>
              </w:rPr>
              <w:t>40 CFR 60 Subpart KKKK is applicable</w:t>
            </w:r>
            <w:r>
              <w:rPr>
                <w:sz w:val="22"/>
                <w:szCs w:val="22"/>
              </w:rPr>
              <w:t xml:space="preserve"> because the turbines have a peak load equal to or greater than 10.7 gigajoules/hr.  This rule also applies to the associated HRSG &amp; duct burners.  Because Subpart KKKK applies, the turbines are exempt from the requirements of Subpart GG.  </w:t>
            </w:r>
          </w:p>
          <w:p w14:paraId="44B9084A" w14:textId="7F663C4E" w:rsidR="00E90A5E" w:rsidRDefault="001A2910" w:rsidP="00E90A5E">
            <w:pPr>
              <w:spacing w:after="14"/>
              <w:rPr>
                <w:sz w:val="22"/>
                <w:szCs w:val="22"/>
              </w:rPr>
            </w:pPr>
            <w:r>
              <w:rPr>
                <w:sz w:val="22"/>
                <w:szCs w:val="22"/>
              </w:rPr>
              <w:t>G-1 (standby generator) is subject to Subpart IIII.</w:t>
            </w:r>
          </w:p>
          <w:p w14:paraId="097FD7FA" w14:textId="77777777" w:rsidR="00CB35B6" w:rsidRPr="00DF4B7A" w:rsidRDefault="00E90A5E" w:rsidP="00E90A5E">
            <w:pPr>
              <w:spacing w:after="14"/>
            </w:pPr>
            <w:r>
              <w:rPr>
                <w:sz w:val="22"/>
                <w:szCs w:val="22"/>
              </w:rPr>
              <w:t>The GHG revisions to Subpart Da and KKKK were proposed on June 18, 2014.  The proposed revisions for modified or reconstructed sources are not applicable to these units since the Facility entered into a contract for the modification to the Gas Turbines in March 2014 and therefore Commenced modification prior to the proposal date of the GHG amendments.</w:t>
            </w:r>
          </w:p>
        </w:tc>
      </w:tr>
      <w:tr w:rsidR="00CB35B6" w:rsidRPr="00237225" w14:paraId="2EB300C5" w14:textId="77777777" w:rsidTr="00D8394C">
        <w:trPr>
          <w:cantSplit/>
          <w:jc w:val="center"/>
        </w:trPr>
        <w:tc>
          <w:tcPr>
            <w:tcW w:w="900" w:type="dxa"/>
            <w:tcBorders>
              <w:top w:val="single" w:sz="6" w:space="0" w:color="000000"/>
              <w:left w:val="single" w:sz="6" w:space="0" w:color="000000"/>
              <w:bottom w:val="single" w:sz="6" w:space="0" w:color="000000"/>
              <w:right w:val="single" w:sz="6" w:space="0" w:color="000000"/>
            </w:tcBorders>
            <w:vAlign w:val="center"/>
          </w:tcPr>
          <w:p w14:paraId="2E7D2839" w14:textId="77777777" w:rsidR="00CB35B6" w:rsidRPr="00DF4B7A" w:rsidRDefault="00CB35B6" w:rsidP="00D8394C">
            <w:pPr>
              <w:rPr>
                <w:b/>
                <w:bCs/>
              </w:rPr>
            </w:pPr>
            <w:r w:rsidRPr="00DF4B7A">
              <w:rPr>
                <w:b/>
                <w:bCs/>
                <w:sz w:val="22"/>
                <w:szCs w:val="22"/>
              </w:rPr>
              <w:t>2.82</w:t>
            </w:r>
          </w:p>
        </w:tc>
        <w:tc>
          <w:tcPr>
            <w:tcW w:w="2610" w:type="dxa"/>
            <w:tcBorders>
              <w:top w:val="single" w:sz="6" w:space="0" w:color="000000"/>
              <w:left w:val="single" w:sz="6" w:space="0" w:color="000000"/>
              <w:bottom w:val="single" w:sz="6" w:space="0" w:color="000000"/>
              <w:right w:val="single" w:sz="6" w:space="0" w:color="000000"/>
            </w:tcBorders>
            <w:vAlign w:val="center"/>
          </w:tcPr>
          <w:p w14:paraId="127CDD30" w14:textId="77777777" w:rsidR="00CB35B6" w:rsidRPr="00DF4B7A" w:rsidRDefault="00CB35B6" w:rsidP="00D8394C">
            <w:r w:rsidRPr="00DF4B7A">
              <w:rPr>
                <w:sz w:val="22"/>
                <w:szCs w:val="22"/>
              </w:rPr>
              <w:t>MACT Standards for Source Categories of HAPs.</w:t>
            </w:r>
          </w:p>
        </w:tc>
        <w:tc>
          <w:tcPr>
            <w:tcW w:w="1080" w:type="dxa"/>
            <w:tcBorders>
              <w:top w:val="single" w:sz="6" w:space="0" w:color="000000"/>
              <w:left w:val="single" w:sz="6" w:space="0" w:color="000000"/>
              <w:bottom w:val="single" w:sz="6" w:space="0" w:color="000000"/>
              <w:right w:val="single" w:sz="6" w:space="0" w:color="000000"/>
            </w:tcBorders>
            <w:vAlign w:val="center"/>
          </w:tcPr>
          <w:p w14:paraId="5B3E430B" w14:textId="77777777" w:rsidR="00CB35B6" w:rsidRPr="00DF4B7A" w:rsidRDefault="00CB35B6" w:rsidP="00D8394C">
            <w:r>
              <w:rPr>
                <w:sz w:val="22"/>
                <w:szCs w:val="22"/>
              </w:rPr>
              <w:t>Y</w:t>
            </w:r>
          </w:p>
        </w:tc>
        <w:tc>
          <w:tcPr>
            <w:tcW w:w="5130" w:type="dxa"/>
            <w:tcBorders>
              <w:top w:val="single" w:sz="6" w:space="0" w:color="000000"/>
              <w:left w:val="single" w:sz="6" w:space="0" w:color="000000"/>
              <w:bottom w:val="single" w:sz="6" w:space="0" w:color="000000"/>
              <w:right w:val="single" w:sz="6" w:space="0" w:color="000000"/>
            </w:tcBorders>
            <w:vAlign w:val="center"/>
          </w:tcPr>
          <w:p w14:paraId="7E9ED735" w14:textId="046E9E04" w:rsidR="00CB35B6" w:rsidRPr="00DF4B7A" w:rsidRDefault="00CB35B6" w:rsidP="001A2910">
            <w:r>
              <w:t xml:space="preserve">G-1 and FP-1 are now subject to </w:t>
            </w:r>
            <w:r w:rsidR="001A2910">
              <w:t xml:space="preserve">Subpart ZZZZ </w:t>
            </w:r>
            <w:r>
              <w:t>requirements</w:t>
            </w:r>
            <w:r w:rsidR="001A2910">
              <w:t xml:space="preserve"> </w:t>
            </w:r>
            <w:r>
              <w:t>(MACT with Area Source requirements).</w:t>
            </w:r>
            <w:r w:rsidR="00301C9A">
              <w:t xml:space="preserve"> </w:t>
            </w:r>
            <w:r w:rsidR="001A2910">
              <w:t xml:space="preserve">G-1 meets Subpart ZZZ through compliance with 40 CFR 60 Subpart IIII. </w:t>
            </w:r>
            <w:r w:rsidR="00301C9A">
              <w:t>T-9 is subject to 40 CFR 6</w:t>
            </w:r>
            <w:r w:rsidR="00CE5777">
              <w:t>3</w:t>
            </w:r>
            <w:r w:rsidR="00301C9A">
              <w:t xml:space="preserve"> Subpart CCCCCC</w:t>
            </w:r>
            <w:r w:rsidR="00CE5777">
              <w:t>.</w:t>
            </w:r>
          </w:p>
        </w:tc>
      </w:tr>
      <w:tr w:rsidR="00CB35B6" w:rsidRPr="00237225" w14:paraId="2B1A7B49" w14:textId="77777777" w:rsidTr="00D8394C">
        <w:trPr>
          <w:cantSplit/>
          <w:jc w:val="center"/>
        </w:trPr>
        <w:tc>
          <w:tcPr>
            <w:tcW w:w="900" w:type="dxa"/>
            <w:tcBorders>
              <w:top w:val="single" w:sz="6" w:space="0" w:color="000000"/>
              <w:left w:val="single" w:sz="6" w:space="0" w:color="000000"/>
              <w:bottom w:val="single" w:sz="6" w:space="0" w:color="000000"/>
              <w:right w:val="single" w:sz="6" w:space="0" w:color="000000"/>
            </w:tcBorders>
            <w:vAlign w:val="center"/>
          </w:tcPr>
          <w:p w14:paraId="24314A6D" w14:textId="77777777" w:rsidR="00CB35B6" w:rsidRPr="00DF4B7A" w:rsidRDefault="00CB35B6" w:rsidP="00D8394C">
            <w:pPr>
              <w:rPr>
                <w:b/>
              </w:rPr>
            </w:pPr>
            <w:r w:rsidRPr="00DF4B7A">
              <w:rPr>
                <w:b/>
                <w:sz w:val="22"/>
                <w:szCs w:val="22"/>
              </w:rPr>
              <w:t>2.84</w:t>
            </w:r>
          </w:p>
        </w:tc>
        <w:tc>
          <w:tcPr>
            <w:tcW w:w="2610" w:type="dxa"/>
            <w:tcBorders>
              <w:top w:val="single" w:sz="6" w:space="0" w:color="000000"/>
              <w:left w:val="single" w:sz="6" w:space="0" w:color="000000"/>
              <w:bottom w:val="single" w:sz="6" w:space="0" w:color="000000"/>
              <w:right w:val="single" w:sz="6" w:space="0" w:color="000000"/>
            </w:tcBorders>
            <w:vAlign w:val="center"/>
          </w:tcPr>
          <w:p w14:paraId="12010EAB" w14:textId="77777777" w:rsidR="00CB35B6" w:rsidRPr="00DF4B7A" w:rsidRDefault="00CB35B6" w:rsidP="00D8394C">
            <w:r w:rsidRPr="00DF4B7A">
              <w:rPr>
                <w:sz w:val="22"/>
                <w:szCs w:val="22"/>
              </w:rPr>
              <w:t>Acid Rain Permits</w:t>
            </w:r>
          </w:p>
        </w:tc>
        <w:tc>
          <w:tcPr>
            <w:tcW w:w="1080" w:type="dxa"/>
            <w:tcBorders>
              <w:top w:val="single" w:sz="6" w:space="0" w:color="000000"/>
              <w:left w:val="single" w:sz="6" w:space="0" w:color="000000"/>
              <w:bottom w:val="single" w:sz="6" w:space="0" w:color="000000"/>
              <w:right w:val="single" w:sz="6" w:space="0" w:color="000000"/>
            </w:tcBorders>
            <w:vAlign w:val="center"/>
          </w:tcPr>
          <w:p w14:paraId="4D9C6C25" w14:textId="77777777" w:rsidR="00CB35B6" w:rsidRPr="00DF4B7A" w:rsidRDefault="00CB35B6" w:rsidP="00D8394C">
            <w:r w:rsidRPr="00DF4B7A">
              <w:rPr>
                <w:sz w:val="22"/>
                <w:szCs w:val="22"/>
              </w:rPr>
              <w:t>Y</w:t>
            </w:r>
          </w:p>
        </w:tc>
        <w:tc>
          <w:tcPr>
            <w:tcW w:w="5130" w:type="dxa"/>
            <w:tcBorders>
              <w:top w:val="single" w:sz="6" w:space="0" w:color="000000"/>
              <w:left w:val="single" w:sz="6" w:space="0" w:color="000000"/>
              <w:bottom w:val="single" w:sz="6" w:space="0" w:color="000000"/>
              <w:right w:val="single" w:sz="6" w:space="0" w:color="000000"/>
            </w:tcBorders>
            <w:vAlign w:val="center"/>
          </w:tcPr>
          <w:p w14:paraId="04ED9FDC" w14:textId="77777777" w:rsidR="00CB35B6" w:rsidRPr="00DF4B7A" w:rsidDel="00457A8F" w:rsidRDefault="00CB35B6" w:rsidP="00D8394C">
            <w:r>
              <w:rPr>
                <w:sz w:val="22"/>
                <w:szCs w:val="22"/>
              </w:rPr>
              <w:t xml:space="preserve">This regulation applies to </w:t>
            </w:r>
            <w:r w:rsidRPr="00237225">
              <w:rPr>
                <w:sz w:val="22"/>
                <w:szCs w:val="22"/>
              </w:rPr>
              <w:t xml:space="preserve">Units </w:t>
            </w:r>
            <w:r>
              <w:rPr>
                <w:sz w:val="22"/>
                <w:szCs w:val="22"/>
              </w:rPr>
              <w:t>HOBB-1 and HOBB-2 which are subject to the requirements of 40 CFR 72. Acid Rain Permit P244A was issued for this source on March 19, 2008.</w:t>
            </w:r>
          </w:p>
        </w:tc>
      </w:tr>
    </w:tbl>
    <w:p w14:paraId="31F87A7C" w14:textId="77777777" w:rsidR="00BF43B7" w:rsidRDefault="00BF43B7" w:rsidP="00FA0F04">
      <w:pPr>
        <w:widowControl w:val="0"/>
        <w:tabs>
          <w:tab w:val="center" w:pos="4680"/>
        </w:tabs>
        <w:jc w:val="both"/>
      </w:pPr>
    </w:p>
    <w:p w14:paraId="247FAE28" w14:textId="77777777" w:rsidR="00BF43B7" w:rsidRDefault="00BF43B7" w:rsidP="00FA0F04">
      <w:pPr>
        <w:widowControl w:val="0"/>
        <w:tabs>
          <w:tab w:val="center" w:pos="4680"/>
        </w:tabs>
        <w:jc w:val="both"/>
      </w:pPr>
    </w:p>
    <w:p w14:paraId="5148F678" w14:textId="77777777" w:rsidR="00BF43B7" w:rsidRDefault="002B1A8D" w:rsidP="00FA0F04">
      <w:pPr>
        <w:widowControl w:val="0"/>
        <w:numPr>
          <w:ilvl w:val="0"/>
          <w:numId w:val="1"/>
        </w:numPr>
        <w:tabs>
          <w:tab w:val="center" w:pos="4680"/>
        </w:tabs>
        <w:jc w:val="both"/>
        <w:rPr>
          <w:b/>
          <w:bCs/>
        </w:rPr>
      </w:pPr>
      <w:r>
        <w:rPr>
          <w:b/>
          <w:bCs/>
          <w:u w:val="single"/>
        </w:rPr>
        <w:t>Federal Regulatory Analysis</w:t>
      </w:r>
      <w:r w:rsidR="00BF43B7">
        <w:rPr>
          <w:b/>
          <w:bCs/>
          <w:u w:val="single"/>
        </w:rPr>
        <w:t>:</w:t>
      </w:r>
      <w:r w:rsidR="00F97B86">
        <w:rPr>
          <w:b/>
          <w:bCs/>
          <w:u w:val="single"/>
        </w:rPr>
        <w:t xml:space="preserve"> </w:t>
      </w:r>
    </w:p>
    <w:p w14:paraId="77242D6F" w14:textId="77777777" w:rsidR="00BF43B7" w:rsidRDefault="00BF43B7" w:rsidP="00FA0F04">
      <w:pPr>
        <w:widowControl w:val="0"/>
        <w:tabs>
          <w:tab w:val="center" w:pos="4680"/>
        </w:tabs>
        <w:jc w:val="both"/>
        <w:rPr>
          <w:sz w:val="22"/>
          <w:szCs w:val="22"/>
        </w:rPr>
      </w:pPr>
    </w:p>
    <w:tbl>
      <w:tblPr>
        <w:tblW w:w="10872" w:type="dxa"/>
        <w:tblInd w:w="-558" w:type="dxa"/>
        <w:tblLayout w:type="fixed"/>
        <w:tblCellMar>
          <w:left w:w="72" w:type="dxa"/>
          <w:right w:w="72" w:type="dxa"/>
        </w:tblCellMar>
        <w:tblLook w:val="0000" w:firstRow="0" w:lastRow="0" w:firstColumn="0" w:lastColumn="0" w:noHBand="0" w:noVBand="0"/>
      </w:tblPr>
      <w:tblGrid>
        <w:gridCol w:w="1620"/>
        <w:gridCol w:w="2700"/>
        <w:gridCol w:w="972"/>
        <w:gridCol w:w="1080"/>
        <w:gridCol w:w="4500"/>
      </w:tblGrid>
      <w:tr w:rsidR="00A5347B" w14:paraId="515E7239" w14:textId="77777777" w:rsidTr="00A5347B">
        <w:tc>
          <w:tcPr>
            <w:tcW w:w="1620" w:type="dxa"/>
            <w:tcBorders>
              <w:top w:val="single" w:sz="6" w:space="0" w:color="000000"/>
              <w:left w:val="single" w:sz="6" w:space="0" w:color="000000"/>
              <w:bottom w:val="single" w:sz="6" w:space="0" w:color="000000"/>
              <w:right w:val="single" w:sz="6" w:space="0" w:color="000000"/>
            </w:tcBorders>
            <w:shd w:val="clear" w:color="auto" w:fill="F3F3F3"/>
          </w:tcPr>
          <w:p w14:paraId="41F00558" w14:textId="77777777" w:rsidR="00A5347B" w:rsidRDefault="00A5347B" w:rsidP="00FA0F04">
            <w:pPr>
              <w:widowControl w:val="0"/>
              <w:spacing w:after="14" w:line="240" w:lineRule="atLeast"/>
              <w:rPr>
                <w:b/>
                <w:bCs/>
                <w:sz w:val="22"/>
                <w:szCs w:val="22"/>
              </w:rPr>
            </w:pPr>
            <w:r>
              <w:rPr>
                <w:b/>
                <w:bCs/>
                <w:sz w:val="22"/>
                <w:szCs w:val="22"/>
              </w:rPr>
              <w:t>Air Programs Subchapter C</w:t>
            </w:r>
          </w:p>
          <w:p w14:paraId="3009CAED" w14:textId="77777777" w:rsidR="00A5347B" w:rsidRDefault="00A5347B" w:rsidP="00FA0F04">
            <w:pPr>
              <w:widowControl w:val="0"/>
              <w:spacing w:after="14" w:line="240" w:lineRule="atLeast"/>
              <w:rPr>
                <w:b/>
                <w:bCs/>
                <w:sz w:val="22"/>
                <w:szCs w:val="22"/>
              </w:rPr>
            </w:pPr>
            <w:r>
              <w:rPr>
                <w:b/>
                <w:bCs/>
                <w:sz w:val="22"/>
                <w:szCs w:val="22"/>
              </w:rPr>
              <w:t>(40 CFR 50)</w:t>
            </w:r>
          </w:p>
        </w:tc>
        <w:tc>
          <w:tcPr>
            <w:tcW w:w="2700" w:type="dxa"/>
            <w:tcBorders>
              <w:top w:val="single" w:sz="6" w:space="0" w:color="000000"/>
              <w:left w:val="single" w:sz="6" w:space="0" w:color="000000"/>
              <w:bottom w:val="single" w:sz="6" w:space="0" w:color="000000"/>
              <w:right w:val="single" w:sz="6" w:space="0" w:color="000000"/>
            </w:tcBorders>
            <w:shd w:val="clear" w:color="auto" w:fill="F3F3F3"/>
          </w:tcPr>
          <w:p w14:paraId="02BAA44B" w14:textId="77777777" w:rsidR="00A5347B" w:rsidRDefault="00A5347B" w:rsidP="00FA0F04">
            <w:pPr>
              <w:widowControl w:val="0"/>
              <w:spacing w:after="14" w:line="240" w:lineRule="atLeast"/>
              <w:jc w:val="center"/>
              <w:rPr>
                <w:b/>
                <w:bCs/>
                <w:sz w:val="22"/>
                <w:szCs w:val="22"/>
              </w:rPr>
            </w:pPr>
            <w:r>
              <w:rPr>
                <w:b/>
                <w:bCs/>
                <w:sz w:val="22"/>
                <w:szCs w:val="22"/>
              </w:rPr>
              <w:t>National Primary and Secondary Ambient Air Quality Standards</w:t>
            </w:r>
          </w:p>
        </w:tc>
        <w:tc>
          <w:tcPr>
            <w:tcW w:w="972"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4D3D7B95" w14:textId="77777777" w:rsidR="00A5347B" w:rsidRDefault="00A5347B" w:rsidP="00FA0F04">
            <w:pPr>
              <w:widowControl w:val="0"/>
              <w:spacing w:line="240" w:lineRule="atLeast"/>
              <w:jc w:val="center"/>
              <w:rPr>
                <w:b/>
                <w:bCs/>
                <w:sz w:val="22"/>
                <w:szCs w:val="22"/>
              </w:rPr>
            </w:pPr>
            <w:r>
              <w:rPr>
                <w:b/>
                <w:bCs/>
                <w:sz w:val="22"/>
                <w:szCs w:val="22"/>
              </w:rPr>
              <w:t>Applies</w:t>
            </w:r>
          </w:p>
          <w:p w14:paraId="4ABACEA9" w14:textId="77777777" w:rsidR="00A5347B" w:rsidRDefault="00A5347B" w:rsidP="00FA0F04">
            <w:pPr>
              <w:widowControl w:val="0"/>
              <w:spacing w:after="14" w:line="240" w:lineRule="atLeast"/>
              <w:jc w:val="center"/>
              <w:rPr>
                <w:b/>
                <w:bCs/>
                <w:sz w:val="22"/>
                <w:szCs w:val="22"/>
              </w:rPr>
            </w:pPr>
            <w:r>
              <w:rPr>
                <w:b/>
                <w:bCs/>
                <w:sz w:val="22"/>
                <w:szCs w:val="22"/>
              </w:rPr>
              <w:t>(Y/N)</w:t>
            </w:r>
          </w:p>
        </w:tc>
        <w:tc>
          <w:tcPr>
            <w:tcW w:w="1080" w:type="dxa"/>
            <w:tcBorders>
              <w:top w:val="single" w:sz="6" w:space="0" w:color="000000"/>
              <w:left w:val="single" w:sz="6" w:space="0" w:color="000000"/>
              <w:bottom w:val="single" w:sz="6" w:space="0" w:color="000000"/>
              <w:right w:val="single" w:sz="6" w:space="0" w:color="000000"/>
            </w:tcBorders>
            <w:shd w:val="clear" w:color="auto" w:fill="F3F3F3"/>
          </w:tcPr>
          <w:p w14:paraId="7B96F777" w14:textId="77777777" w:rsidR="00A5347B" w:rsidRDefault="00A5347B" w:rsidP="00FA0F04">
            <w:pPr>
              <w:widowControl w:val="0"/>
              <w:spacing w:after="14" w:line="240" w:lineRule="atLeast"/>
              <w:jc w:val="center"/>
              <w:rPr>
                <w:b/>
                <w:bCs/>
                <w:sz w:val="22"/>
                <w:szCs w:val="22"/>
              </w:rPr>
            </w:pPr>
            <w:r>
              <w:rPr>
                <w:b/>
                <w:bCs/>
                <w:sz w:val="22"/>
                <w:szCs w:val="22"/>
              </w:rPr>
              <w:t>Unit(s) or Facility</w:t>
            </w:r>
          </w:p>
        </w:tc>
        <w:tc>
          <w:tcPr>
            <w:tcW w:w="4500"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69A09AC5" w14:textId="77777777" w:rsidR="00A5347B" w:rsidRDefault="00A5347B" w:rsidP="00FA0F04">
            <w:pPr>
              <w:widowControl w:val="0"/>
              <w:spacing w:after="14" w:line="240" w:lineRule="atLeast"/>
              <w:jc w:val="center"/>
              <w:rPr>
                <w:b/>
                <w:bCs/>
                <w:sz w:val="22"/>
                <w:szCs w:val="22"/>
              </w:rPr>
            </w:pPr>
            <w:r>
              <w:rPr>
                <w:b/>
                <w:bCs/>
                <w:sz w:val="22"/>
                <w:szCs w:val="22"/>
              </w:rPr>
              <w:t>Comments</w:t>
            </w:r>
          </w:p>
        </w:tc>
      </w:tr>
      <w:tr w:rsidR="00A5347B" w14:paraId="6A9DCF41" w14:textId="77777777" w:rsidTr="00A5347B">
        <w:trPr>
          <w:cantSplit/>
          <w:trHeight w:val="559"/>
        </w:trPr>
        <w:tc>
          <w:tcPr>
            <w:tcW w:w="1620" w:type="dxa"/>
            <w:tcBorders>
              <w:top w:val="single" w:sz="6" w:space="0" w:color="000000"/>
              <w:left w:val="single" w:sz="6" w:space="0" w:color="000000"/>
              <w:bottom w:val="single" w:sz="6" w:space="0" w:color="000000"/>
              <w:right w:val="single" w:sz="6" w:space="0" w:color="000000"/>
            </w:tcBorders>
          </w:tcPr>
          <w:p w14:paraId="2F50DBCF" w14:textId="77777777" w:rsidR="00A5347B" w:rsidRDefault="00A5347B" w:rsidP="00FA0F04">
            <w:pPr>
              <w:widowControl w:val="0"/>
              <w:spacing w:after="14" w:line="240" w:lineRule="atLeast"/>
              <w:jc w:val="center"/>
              <w:rPr>
                <w:sz w:val="22"/>
                <w:szCs w:val="22"/>
              </w:rPr>
            </w:pPr>
            <w:r>
              <w:rPr>
                <w:sz w:val="22"/>
                <w:szCs w:val="22"/>
              </w:rPr>
              <w:t>C</w:t>
            </w:r>
          </w:p>
        </w:tc>
        <w:tc>
          <w:tcPr>
            <w:tcW w:w="2700" w:type="dxa"/>
            <w:tcBorders>
              <w:top w:val="single" w:sz="6" w:space="0" w:color="000000"/>
              <w:left w:val="single" w:sz="6" w:space="0" w:color="000000"/>
              <w:bottom w:val="single" w:sz="6" w:space="0" w:color="000000"/>
              <w:right w:val="single" w:sz="6" w:space="0" w:color="000000"/>
            </w:tcBorders>
          </w:tcPr>
          <w:p w14:paraId="4C0D6BA4" w14:textId="77777777" w:rsidR="00A5347B" w:rsidRDefault="00A5347B" w:rsidP="00FA0F04">
            <w:pPr>
              <w:widowControl w:val="0"/>
              <w:spacing w:after="14" w:line="240" w:lineRule="atLeast"/>
              <w:rPr>
                <w:sz w:val="22"/>
                <w:szCs w:val="22"/>
              </w:rPr>
            </w:pPr>
            <w:r>
              <w:rPr>
                <w:sz w:val="22"/>
                <w:szCs w:val="22"/>
              </w:rPr>
              <w:t>Federal Ambient Air Quality Standards</w:t>
            </w:r>
          </w:p>
        </w:tc>
        <w:tc>
          <w:tcPr>
            <w:tcW w:w="972" w:type="dxa"/>
            <w:tcBorders>
              <w:top w:val="single" w:sz="6" w:space="0" w:color="000000"/>
              <w:left w:val="single" w:sz="6" w:space="0" w:color="000000"/>
              <w:bottom w:val="single" w:sz="6" w:space="0" w:color="000000"/>
              <w:right w:val="single" w:sz="6" w:space="0" w:color="000000"/>
            </w:tcBorders>
            <w:vAlign w:val="center"/>
          </w:tcPr>
          <w:p w14:paraId="39E74B72" w14:textId="77777777" w:rsidR="00A5347B" w:rsidRDefault="00A5347B" w:rsidP="00FA0F04">
            <w:pPr>
              <w:widowControl w:val="0"/>
              <w:spacing w:line="240" w:lineRule="atLeast"/>
              <w:jc w:val="center"/>
              <w:rPr>
                <w:sz w:val="22"/>
                <w:szCs w:val="22"/>
              </w:rPr>
            </w:pPr>
            <w:r>
              <w:rPr>
                <w:sz w:val="22"/>
                <w:szCs w:val="22"/>
              </w:rPr>
              <w:t>Yes</w:t>
            </w:r>
          </w:p>
        </w:tc>
        <w:tc>
          <w:tcPr>
            <w:tcW w:w="1080" w:type="dxa"/>
            <w:tcBorders>
              <w:top w:val="single" w:sz="6" w:space="0" w:color="000000"/>
              <w:left w:val="single" w:sz="6" w:space="0" w:color="000000"/>
              <w:bottom w:val="single" w:sz="6" w:space="0" w:color="000000"/>
              <w:right w:val="single" w:sz="6" w:space="0" w:color="000000"/>
            </w:tcBorders>
          </w:tcPr>
          <w:p w14:paraId="79461839" w14:textId="77777777" w:rsidR="00A5347B" w:rsidRPr="00CA283E" w:rsidRDefault="00DB34B4" w:rsidP="00DB34B4">
            <w:pPr>
              <w:widowControl w:val="0"/>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240" w:lineRule="atLeast"/>
              <w:jc w:val="center"/>
              <w:rPr>
                <w:sz w:val="22"/>
                <w:szCs w:val="22"/>
              </w:rPr>
            </w:pPr>
            <w:r>
              <w:rPr>
                <w:sz w:val="22"/>
                <w:szCs w:val="22"/>
              </w:rPr>
              <w:t>Facility</w:t>
            </w:r>
          </w:p>
        </w:tc>
        <w:tc>
          <w:tcPr>
            <w:tcW w:w="4500" w:type="dxa"/>
            <w:tcBorders>
              <w:top w:val="single" w:sz="6" w:space="0" w:color="000000"/>
              <w:left w:val="single" w:sz="6" w:space="0" w:color="000000"/>
              <w:bottom w:val="single" w:sz="6" w:space="0" w:color="000000"/>
              <w:right w:val="single" w:sz="6" w:space="0" w:color="000000"/>
            </w:tcBorders>
          </w:tcPr>
          <w:p w14:paraId="00B63F0F" w14:textId="57CE3B4C" w:rsidR="00A5347B" w:rsidRPr="00CA283E" w:rsidRDefault="00A5347B" w:rsidP="00917D69">
            <w:pPr>
              <w:widowControl w:val="0"/>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240" w:lineRule="atLeast"/>
              <w:rPr>
                <w:rFonts w:ascii="Arial" w:hAnsi="Arial" w:cs="Arial"/>
                <w:color w:val="000080"/>
                <w:sz w:val="20"/>
                <w:szCs w:val="20"/>
              </w:rPr>
            </w:pPr>
            <w:r w:rsidRPr="00CA283E">
              <w:rPr>
                <w:sz w:val="22"/>
                <w:szCs w:val="22"/>
              </w:rPr>
              <w:t>Independent of permit applicability; applies to all sources of emissions for which there is a Federal Ambient Air Quality Standard.</w:t>
            </w:r>
          </w:p>
        </w:tc>
      </w:tr>
    </w:tbl>
    <w:p w14:paraId="4324E248" w14:textId="77777777" w:rsidR="00BF43B7" w:rsidRDefault="00BF43B7" w:rsidP="00FA0F04">
      <w:pPr>
        <w:widowControl w:val="0"/>
        <w:tabs>
          <w:tab w:val="center" w:pos="4680"/>
        </w:tabs>
        <w:jc w:val="both"/>
        <w:rPr>
          <w:sz w:val="22"/>
          <w:szCs w:val="22"/>
        </w:rPr>
      </w:pPr>
    </w:p>
    <w:tbl>
      <w:tblPr>
        <w:tblW w:w="10890" w:type="dxa"/>
        <w:tblInd w:w="-558" w:type="dxa"/>
        <w:tblLayout w:type="fixed"/>
        <w:tblCellMar>
          <w:left w:w="72" w:type="dxa"/>
          <w:right w:w="72" w:type="dxa"/>
        </w:tblCellMar>
        <w:tblLook w:val="0000" w:firstRow="0" w:lastRow="0" w:firstColumn="0" w:lastColumn="0" w:noHBand="0" w:noVBand="0"/>
      </w:tblPr>
      <w:tblGrid>
        <w:gridCol w:w="1620"/>
        <w:gridCol w:w="2700"/>
        <w:gridCol w:w="972"/>
        <w:gridCol w:w="1098"/>
        <w:gridCol w:w="4500"/>
      </w:tblGrid>
      <w:tr w:rsidR="00A5347B" w14:paraId="4117C452" w14:textId="77777777" w:rsidTr="00A5347B">
        <w:trPr>
          <w:cantSplit/>
          <w:tblHeader/>
        </w:trPr>
        <w:tc>
          <w:tcPr>
            <w:tcW w:w="1620" w:type="dxa"/>
            <w:tcBorders>
              <w:top w:val="single" w:sz="6" w:space="0" w:color="000000"/>
              <w:left w:val="single" w:sz="6" w:space="0" w:color="000000"/>
              <w:bottom w:val="single" w:sz="6" w:space="0" w:color="000000"/>
              <w:right w:val="single" w:sz="6" w:space="0" w:color="000000"/>
            </w:tcBorders>
            <w:shd w:val="clear" w:color="auto" w:fill="F3F3F3"/>
          </w:tcPr>
          <w:p w14:paraId="7909B826" w14:textId="77777777" w:rsidR="00A5347B" w:rsidRDefault="00A5347B" w:rsidP="00FA0F04">
            <w:pPr>
              <w:widowControl w:val="0"/>
              <w:spacing w:after="14" w:line="240" w:lineRule="atLeast"/>
              <w:rPr>
                <w:b/>
                <w:bCs/>
                <w:sz w:val="22"/>
                <w:szCs w:val="22"/>
              </w:rPr>
            </w:pPr>
            <w:r>
              <w:rPr>
                <w:b/>
                <w:bCs/>
                <w:sz w:val="22"/>
                <w:szCs w:val="22"/>
              </w:rPr>
              <w:t>NSPS Subpart</w:t>
            </w:r>
          </w:p>
          <w:p w14:paraId="04EA7B66" w14:textId="77777777" w:rsidR="00A5347B" w:rsidRDefault="00A5347B" w:rsidP="00FA0F04">
            <w:pPr>
              <w:widowControl w:val="0"/>
              <w:spacing w:after="14" w:line="240" w:lineRule="atLeast"/>
              <w:rPr>
                <w:b/>
                <w:bCs/>
                <w:sz w:val="22"/>
                <w:szCs w:val="22"/>
              </w:rPr>
            </w:pPr>
            <w:r>
              <w:rPr>
                <w:b/>
                <w:bCs/>
                <w:sz w:val="22"/>
                <w:szCs w:val="22"/>
              </w:rPr>
              <w:t>(40 CFR 60)</w:t>
            </w:r>
          </w:p>
        </w:tc>
        <w:tc>
          <w:tcPr>
            <w:tcW w:w="2700" w:type="dxa"/>
            <w:tcBorders>
              <w:top w:val="single" w:sz="6" w:space="0" w:color="000000"/>
              <w:left w:val="single" w:sz="6" w:space="0" w:color="000000"/>
              <w:bottom w:val="single" w:sz="6" w:space="0" w:color="000000"/>
              <w:right w:val="single" w:sz="6" w:space="0" w:color="000000"/>
            </w:tcBorders>
            <w:shd w:val="clear" w:color="auto" w:fill="F3F3F3"/>
          </w:tcPr>
          <w:p w14:paraId="328CB99E" w14:textId="77777777" w:rsidR="00A5347B" w:rsidRDefault="00A5347B" w:rsidP="00FA0F04">
            <w:pPr>
              <w:widowControl w:val="0"/>
              <w:spacing w:after="14" w:line="240" w:lineRule="atLeast"/>
              <w:jc w:val="center"/>
              <w:rPr>
                <w:b/>
                <w:bCs/>
                <w:sz w:val="22"/>
                <w:szCs w:val="22"/>
              </w:rPr>
            </w:pPr>
            <w:r>
              <w:rPr>
                <w:b/>
                <w:bCs/>
                <w:sz w:val="22"/>
                <w:szCs w:val="22"/>
              </w:rPr>
              <w:t>Title</w:t>
            </w:r>
          </w:p>
        </w:tc>
        <w:tc>
          <w:tcPr>
            <w:tcW w:w="972"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5BB9B9C3" w14:textId="77777777" w:rsidR="00A5347B" w:rsidRDefault="00A5347B" w:rsidP="00FA0F04">
            <w:pPr>
              <w:widowControl w:val="0"/>
              <w:spacing w:line="240" w:lineRule="atLeast"/>
              <w:jc w:val="center"/>
              <w:rPr>
                <w:b/>
                <w:bCs/>
                <w:sz w:val="22"/>
                <w:szCs w:val="22"/>
              </w:rPr>
            </w:pPr>
            <w:r>
              <w:rPr>
                <w:b/>
                <w:bCs/>
                <w:sz w:val="22"/>
                <w:szCs w:val="22"/>
              </w:rPr>
              <w:t>Applies</w:t>
            </w:r>
          </w:p>
          <w:p w14:paraId="7F186619" w14:textId="77777777" w:rsidR="00A5347B" w:rsidRDefault="00A5347B" w:rsidP="00FA0F04">
            <w:pPr>
              <w:widowControl w:val="0"/>
              <w:spacing w:after="14" w:line="240" w:lineRule="atLeast"/>
              <w:jc w:val="center"/>
              <w:rPr>
                <w:b/>
                <w:bCs/>
                <w:sz w:val="22"/>
                <w:szCs w:val="22"/>
              </w:rPr>
            </w:pPr>
            <w:r>
              <w:rPr>
                <w:b/>
                <w:bCs/>
                <w:sz w:val="22"/>
                <w:szCs w:val="22"/>
              </w:rPr>
              <w:t>(Y/N)</w:t>
            </w:r>
          </w:p>
        </w:tc>
        <w:tc>
          <w:tcPr>
            <w:tcW w:w="1098" w:type="dxa"/>
            <w:tcBorders>
              <w:top w:val="single" w:sz="6" w:space="0" w:color="000000"/>
              <w:left w:val="single" w:sz="6" w:space="0" w:color="000000"/>
              <w:bottom w:val="single" w:sz="6" w:space="0" w:color="000000"/>
              <w:right w:val="single" w:sz="6" w:space="0" w:color="000000"/>
            </w:tcBorders>
            <w:shd w:val="clear" w:color="auto" w:fill="F3F3F3"/>
          </w:tcPr>
          <w:p w14:paraId="6611BB60" w14:textId="77777777" w:rsidR="00A5347B" w:rsidRDefault="00A5347B" w:rsidP="00FA0F04">
            <w:pPr>
              <w:widowControl w:val="0"/>
              <w:spacing w:after="14" w:line="240" w:lineRule="atLeast"/>
              <w:jc w:val="center"/>
              <w:rPr>
                <w:b/>
                <w:bCs/>
                <w:sz w:val="22"/>
                <w:szCs w:val="22"/>
              </w:rPr>
            </w:pPr>
            <w:r>
              <w:rPr>
                <w:b/>
                <w:bCs/>
                <w:sz w:val="22"/>
                <w:szCs w:val="22"/>
              </w:rPr>
              <w:t>Unit(s) or Facility</w:t>
            </w:r>
          </w:p>
        </w:tc>
        <w:tc>
          <w:tcPr>
            <w:tcW w:w="4500"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514E3A19" w14:textId="77777777" w:rsidR="00A5347B" w:rsidRDefault="00A5347B" w:rsidP="00FA0F04">
            <w:pPr>
              <w:widowControl w:val="0"/>
              <w:spacing w:after="14" w:line="240" w:lineRule="atLeast"/>
              <w:jc w:val="center"/>
              <w:rPr>
                <w:b/>
                <w:bCs/>
                <w:sz w:val="22"/>
                <w:szCs w:val="22"/>
              </w:rPr>
            </w:pPr>
            <w:r>
              <w:rPr>
                <w:b/>
                <w:bCs/>
                <w:sz w:val="22"/>
                <w:szCs w:val="22"/>
              </w:rPr>
              <w:t>Comments</w:t>
            </w:r>
          </w:p>
        </w:tc>
      </w:tr>
      <w:tr w:rsidR="00A5347B" w14:paraId="1B18EDA8" w14:textId="77777777" w:rsidTr="00A5347B">
        <w:tc>
          <w:tcPr>
            <w:tcW w:w="1620" w:type="dxa"/>
            <w:tcBorders>
              <w:top w:val="single" w:sz="6" w:space="0" w:color="000000"/>
              <w:left w:val="single" w:sz="6" w:space="0" w:color="000000"/>
              <w:bottom w:val="single" w:sz="6" w:space="0" w:color="000000"/>
              <w:right w:val="single" w:sz="6" w:space="0" w:color="000000"/>
            </w:tcBorders>
          </w:tcPr>
          <w:p w14:paraId="47D36591" w14:textId="77777777" w:rsidR="00A5347B" w:rsidRDefault="00A5347B" w:rsidP="00FA0F04">
            <w:pPr>
              <w:widowControl w:val="0"/>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240" w:lineRule="atLeast"/>
              <w:jc w:val="center"/>
              <w:rPr>
                <w:sz w:val="22"/>
                <w:szCs w:val="22"/>
              </w:rPr>
            </w:pPr>
            <w:r>
              <w:rPr>
                <w:sz w:val="22"/>
                <w:szCs w:val="22"/>
              </w:rPr>
              <w:t>A</w:t>
            </w:r>
          </w:p>
        </w:tc>
        <w:tc>
          <w:tcPr>
            <w:tcW w:w="2700" w:type="dxa"/>
            <w:tcBorders>
              <w:top w:val="single" w:sz="6" w:space="0" w:color="000000"/>
              <w:left w:val="single" w:sz="6" w:space="0" w:color="000000"/>
              <w:bottom w:val="single" w:sz="6" w:space="0" w:color="000000"/>
              <w:right w:val="single" w:sz="6" w:space="0" w:color="000000"/>
            </w:tcBorders>
          </w:tcPr>
          <w:p w14:paraId="13EC351C" w14:textId="77777777" w:rsidR="00A5347B" w:rsidRDefault="00A5347B" w:rsidP="00FA0F04">
            <w:pPr>
              <w:widowControl w:val="0"/>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240" w:lineRule="atLeast"/>
              <w:rPr>
                <w:sz w:val="22"/>
                <w:szCs w:val="22"/>
              </w:rPr>
            </w:pPr>
            <w:r>
              <w:rPr>
                <w:sz w:val="22"/>
                <w:szCs w:val="22"/>
              </w:rPr>
              <w:t>General Provisions</w:t>
            </w:r>
          </w:p>
        </w:tc>
        <w:tc>
          <w:tcPr>
            <w:tcW w:w="972" w:type="dxa"/>
            <w:tcBorders>
              <w:top w:val="single" w:sz="6" w:space="0" w:color="000000"/>
              <w:left w:val="single" w:sz="6" w:space="0" w:color="000000"/>
              <w:bottom w:val="single" w:sz="6" w:space="0" w:color="000000"/>
              <w:right w:val="single" w:sz="6" w:space="0" w:color="000000"/>
            </w:tcBorders>
          </w:tcPr>
          <w:p w14:paraId="67BE26F2" w14:textId="77777777" w:rsidR="00A5347B" w:rsidRDefault="00DB34B4" w:rsidP="00FA0F04">
            <w:pPr>
              <w:widowControl w:val="0"/>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240" w:lineRule="atLeast"/>
              <w:jc w:val="center"/>
              <w:rPr>
                <w:sz w:val="22"/>
                <w:szCs w:val="22"/>
              </w:rPr>
            </w:pPr>
            <w:r>
              <w:rPr>
                <w:sz w:val="22"/>
                <w:szCs w:val="22"/>
              </w:rPr>
              <w:t>Y</w:t>
            </w:r>
          </w:p>
        </w:tc>
        <w:tc>
          <w:tcPr>
            <w:tcW w:w="1098" w:type="dxa"/>
            <w:tcBorders>
              <w:top w:val="single" w:sz="6" w:space="0" w:color="000000"/>
              <w:left w:val="single" w:sz="6" w:space="0" w:color="000000"/>
              <w:bottom w:val="single" w:sz="6" w:space="0" w:color="000000"/>
              <w:right w:val="single" w:sz="6" w:space="0" w:color="000000"/>
            </w:tcBorders>
          </w:tcPr>
          <w:p w14:paraId="04E8FF77" w14:textId="77777777" w:rsidR="00A5347B" w:rsidRPr="000C4C3B" w:rsidRDefault="00DB34B4" w:rsidP="00DB34B4">
            <w:pPr>
              <w:widowControl w:val="0"/>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240" w:lineRule="atLeast"/>
              <w:jc w:val="center"/>
              <w:rPr>
                <w:sz w:val="22"/>
                <w:szCs w:val="22"/>
              </w:rPr>
            </w:pPr>
            <w:r>
              <w:rPr>
                <w:sz w:val="22"/>
                <w:szCs w:val="22"/>
              </w:rPr>
              <w:t>HOBB-1/DB-1, HOBB-2/DB-2 &amp; G-1</w:t>
            </w:r>
          </w:p>
        </w:tc>
        <w:tc>
          <w:tcPr>
            <w:tcW w:w="4500" w:type="dxa"/>
            <w:tcBorders>
              <w:top w:val="single" w:sz="6" w:space="0" w:color="000000"/>
              <w:left w:val="single" w:sz="6" w:space="0" w:color="000000"/>
              <w:bottom w:val="single" w:sz="6" w:space="0" w:color="000000"/>
              <w:right w:val="single" w:sz="6" w:space="0" w:color="000000"/>
            </w:tcBorders>
          </w:tcPr>
          <w:p w14:paraId="799D1AC5" w14:textId="77777777" w:rsidR="00A5347B" w:rsidRPr="00DB34B4" w:rsidRDefault="00A5347B" w:rsidP="00DB34B4">
            <w:pPr>
              <w:widowControl w:val="0"/>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240" w:lineRule="atLeast"/>
              <w:rPr>
                <w:sz w:val="20"/>
                <w:szCs w:val="20"/>
              </w:rPr>
            </w:pPr>
            <w:r w:rsidRPr="00DB34B4">
              <w:rPr>
                <w:sz w:val="22"/>
                <w:szCs w:val="22"/>
              </w:rPr>
              <w:t xml:space="preserve">Applies if any other subpart applies and </w:t>
            </w:r>
            <w:r w:rsidR="00DB34B4" w:rsidRPr="00DB34B4">
              <w:rPr>
                <w:sz w:val="22"/>
                <w:szCs w:val="22"/>
              </w:rPr>
              <w:t>IIII and KKKK</w:t>
            </w:r>
            <w:r w:rsidRPr="00DB34B4">
              <w:rPr>
                <w:sz w:val="22"/>
                <w:szCs w:val="22"/>
              </w:rPr>
              <w:t xml:space="preserve"> applies</w:t>
            </w:r>
          </w:p>
        </w:tc>
      </w:tr>
      <w:tr w:rsidR="00A5347B" w:rsidRPr="000C4C3B" w14:paraId="21AE1AF3" w14:textId="77777777" w:rsidTr="00A5347B">
        <w:tc>
          <w:tcPr>
            <w:tcW w:w="1620" w:type="dxa"/>
            <w:tcBorders>
              <w:top w:val="single" w:sz="6" w:space="0" w:color="000000"/>
              <w:left w:val="single" w:sz="6" w:space="0" w:color="000000"/>
              <w:bottom w:val="single" w:sz="6" w:space="0" w:color="000000"/>
              <w:right w:val="single" w:sz="6" w:space="0" w:color="000000"/>
            </w:tcBorders>
          </w:tcPr>
          <w:p w14:paraId="266203B3" w14:textId="77777777" w:rsidR="00A5347B" w:rsidRPr="000C4C3B" w:rsidRDefault="00A5347B" w:rsidP="00FA0F04">
            <w:pPr>
              <w:widowControl w:val="0"/>
              <w:spacing w:after="14" w:line="240" w:lineRule="atLeast"/>
              <w:jc w:val="center"/>
              <w:rPr>
                <w:sz w:val="22"/>
                <w:szCs w:val="22"/>
              </w:rPr>
            </w:pPr>
            <w:r w:rsidRPr="000C4C3B">
              <w:rPr>
                <w:color w:val="000000"/>
                <w:sz w:val="22"/>
                <w:szCs w:val="22"/>
              </w:rPr>
              <w:t>40 CFR60.40a, Subpart Da</w:t>
            </w:r>
          </w:p>
        </w:tc>
        <w:tc>
          <w:tcPr>
            <w:tcW w:w="2700" w:type="dxa"/>
            <w:tcBorders>
              <w:top w:val="single" w:sz="6" w:space="0" w:color="000000"/>
              <w:left w:val="single" w:sz="6" w:space="0" w:color="000000"/>
              <w:bottom w:val="single" w:sz="6" w:space="0" w:color="000000"/>
              <w:right w:val="single" w:sz="6" w:space="0" w:color="000000"/>
            </w:tcBorders>
          </w:tcPr>
          <w:p w14:paraId="1934B050" w14:textId="77777777" w:rsidR="00A5347B" w:rsidRPr="000C4C3B" w:rsidRDefault="005D072B" w:rsidP="00FA0F04">
            <w:pPr>
              <w:widowControl w:val="0"/>
              <w:spacing w:after="14" w:line="240" w:lineRule="atLeast"/>
              <w:rPr>
                <w:sz w:val="22"/>
                <w:szCs w:val="22"/>
              </w:rPr>
            </w:pPr>
            <w:r w:rsidRPr="005D072B">
              <w:rPr>
                <w:color w:val="000000"/>
                <w:sz w:val="22"/>
                <w:szCs w:val="22"/>
              </w:rPr>
              <w:t xml:space="preserve">Standards of Performance </w:t>
            </w:r>
            <w:r w:rsidR="00A5347B" w:rsidRPr="000C4C3B">
              <w:rPr>
                <w:color w:val="000000"/>
                <w:sz w:val="22"/>
                <w:szCs w:val="22"/>
              </w:rPr>
              <w:t xml:space="preserve">for Electric Utility Steam Generating Units, </w:t>
            </w:r>
          </w:p>
        </w:tc>
        <w:tc>
          <w:tcPr>
            <w:tcW w:w="972" w:type="dxa"/>
            <w:tcBorders>
              <w:top w:val="single" w:sz="6" w:space="0" w:color="000000"/>
              <w:left w:val="single" w:sz="6" w:space="0" w:color="000000"/>
              <w:bottom w:val="single" w:sz="6" w:space="0" w:color="000000"/>
              <w:right w:val="single" w:sz="6" w:space="0" w:color="000000"/>
            </w:tcBorders>
          </w:tcPr>
          <w:p w14:paraId="155CAF14" w14:textId="77777777" w:rsidR="00A5347B" w:rsidRPr="000C4C3B" w:rsidRDefault="004148B8" w:rsidP="00FA0F04">
            <w:pPr>
              <w:widowControl w:val="0"/>
              <w:spacing w:after="14" w:line="240" w:lineRule="atLeast"/>
              <w:jc w:val="center"/>
              <w:rPr>
                <w:sz w:val="22"/>
                <w:szCs w:val="22"/>
              </w:rPr>
            </w:pPr>
            <w:r>
              <w:rPr>
                <w:sz w:val="22"/>
                <w:szCs w:val="22"/>
              </w:rPr>
              <w:t>N</w:t>
            </w:r>
          </w:p>
        </w:tc>
        <w:tc>
          <w:tcPr>
            <w:tcW w:w="1098" w:type="dxa"/>
            <w:tcBorders>
              <w:top w:val="single" w:sz="6" w:space="0" w:color="000000"/>
              <w:left w:val="single" w:sz="6" w:space="0" w:color="000000"/>
              <w:bottom w:val="single" w:sz="6" w:space="0" w:color="000000"/>
              <w:right w:val="single" w:sz="6" w:space="0" w:color="000000"/>
            </w:tcBorders>
          </w:tcPr>
          <w:p w14:paraId="1FB546B8" w14:textId="77777777" w:rsidR="00A5347B" w:rsidRPr="00024A24" w:rsidRDefault="004148B8" w:rsidP="00FA0F04">
            <w:pPr>
              <w:widowControl w:val="0"/>
              <w:spacing w:line="240" w:lineRule="atLeast"/>
              <w:rPr>
                <w:sz w:val="22"/>
                <w:szCs w:val="22"/>
              </w:rPr>
            </w:pPr>
            <w:r>
              <w:rPr>
                <w:sz w:val="22"/>
                <w:szCs w:val="22"/>
              </w:rPr>
              <w:t>DB-1 and DB-2</w:t>
            </w:r>
          </w:p>
        </w:tc>
        <w:tc>
          <w:tcPr>
            <w:tcW w:w="4500" w:type="dxa"/>
            <w:tcBorders>
              <w:top w:val="single" w:sz="6" w:space="0" w:color="000000"/>
              <w:left w:val="single" w:sz="6" w:space="0" w:color="000000"/>
              <w:bottom w:val="single" w:sz="6" w:space="0" w:color="000000"/>
              <w:right w:val="single" w:sz="6" w:space="0" w:color="000000"/>
            </w:tcBorders>
          </w:tcPr>
          <w:p w14:paraId="0866BA05" w14:textId="77777777" w:rsidR="004148B8" w:rsidRPr="004148B8" w:rsidRDefault="004148B8" w:rsidP="004148B8">
            <w:pPr>
              <w:autoSpaceDE w:val="0"/>
              <w:autoSpaceDN w:val="0"/>
              <w:adjustRightInd w:val="0"/>
              <w:rPr>
                <w:sz w:val="22"/>
                <w:szCs w:val="22"/>
              </w:rPr>
            </w:pPr>
            <w:r w:rsidRPr="004148B8">
              <w:rPr>
                <w:sz w:val="22"/>
                <w:szCs w:val="22"/>
              </w:rPr>
              <w:t>Not applicable. Emissions from the HRSG duct</w:t>
            </w:r>
          </w:p>
          <w:p w14:paraId="67FAF5A1" w14:textId="77777777" w:rsidR="00A5347B" w:rsidRPr="00024A24" w:rsidRDefault="004148B8" w:rsidP="004148B8">
            <w:pPr>
              <w:autoSpaceDE w:val="0"/>
              <w:autoSpaceDN w:val="0"/>
              <w:adjustRightInd w:val="0"/>
              <w:rPr>
                <w:sz w:val="22"/>
                <w:szCs w:val="22"/>
              </w:rPr>
            </w:pPr>
            <w:r w:rsidRPr="004148B8">
              <w:rPr>
                <w:sz w:val="22"/>
                <w:szCs w:val="22"/>
              </w:rPr>
              <w:t>burners are subject to 40 CFR 60 Subpart KKKK and</w:t>
            </w:r>
            <w:r>
              <w:rPr>
                <w:sz w:val="22"/>
                <w:szCs w:val="22"/>
              </w:rPr>
              <w:t xml:space="preserve"> </w:t>
            </w:r>
            <w:r w:rsidRPr="004148B8">
              <w:rPr>
                <w:sz w:val="22"/>
                <w:szCs w:val="22"/>
              </w:rPr>
              <w:t>therefore are exempt from the requirements of</w:t>
            </w:r>
            <w:r>
              <w:rPr>
                <w:sz w:val="22"/>
                <w:szCs w:val="22"/>
              </w:rPr>
              <w:t xml:space="preserve"> </w:t>
            </w:r>
            <w:r w:rsidRPr="004148B8">
              <w:rPr>
                <w:sz w:val="22"/>
                <w:szCs w:val="22"/>
              </w:rPr>
              <w:t>Subpart Da.</w:t>
            </w:r>
          </w:p>
        </w:tc>
      </w:tr>
      <w:tr w:rsidR="00A5347B" w:rsidRPr="000C4C3B" w14:paraId="38E07481" w14:textId="77777777" w:rsidTr="00A5347B">
        <w:tc>
          <w:tcPr>
            <w:tcW w:w="1620" w:type="dxa"/>
            <w:tcBorders>
              <w:top w:val="single" w:sz="6" w:space="0" w:color="000000"/>
              <w:left w:val="single" w:sz="6" w:space="0" w:color="000000"/>
              <w:bottom w:val="single" w:sz="6" w:space="0" w:color="000000"/>
              <w:right w:val="single" w:sz="6" w:space="0" w:color="000000"/>
            </w:tcBorders>
          </w:tcPr>
          <w:p w14:paraId="2F4CA09D" w14:textId="77777777" w:rsidR="00A5347B" w:rsidRPr="000C4C3B" w:rsidRDefault="00A5347B" w:rsidP="0079482C">
            <w:pPr>
              <w:spacing w:after="58" w:line="240" w:lineRule="atLeast"/>
            </w:pPr>
            <w:r>
              <w:rPr>
                <w:sz w:val="22"/>
                <w:szCs w:val="22"/>
              </w:rPr>
              <w:t>40 CFR 60, Subpart Kb</w:t>
            </w:r>
          </w:p>
        </w:tc>
        <w:tc>
          <w:tcPr>
            <w:tcW w:w="2700" w:type="dxa"/>
            <w:tcBorders>
              <w:top w:val="single" w:sz="6" w:space="0" w:color="000000"/>
              <w:left w:val="single" w:sz="6" w:space="0" w:color="000000"/>
              <w:bottom w:val="single" w:sz="6" w:space="0" w:color="000000"/>
              <w:right w:val="single" w:sz="6" w:space="0" w:color="000000"/>
            </w:tcBorders>
          </w:tcPr>
          <w:p w14:paraId="29BA73B0" w14:textId="77777777" w:rsidR="00A5347B" w:rsidRPr="000C4C3B" w:rsidRDefault="00A5347B" w:rsidP="0079482C">
            <w:pPr>
              <w:spacing w:after="14" w:line="240" w:lineRule="atLeast"/>
            </w:pPr>
            <w:r w:rsidRPr="000C4C3B">
              <w:rPr>
                <w:sz w:val="22"/>
                <w:szCs w:val="22"/>
              </w:rPr>
              <w:t xml:space="preserve">Standards of Performance for Storage Vessels for </w:t>
            </w:r>
            <w:r>
              <w:rPr>
                <w:sz w:val="22"/>
                <w:szCs w:val="22"/>
              </w:rPr>
              <w:t>Volatile Organic Liquid Storage Vessels</w:t>
            </w:r>
            <w:r w:rsidRPr="000C4C3B">
              <w:rPr>
                <w:sz w:val="22"/>
                <w:szCs w:val="22"/>
              </w:rPr>
              <w:t xml:space="preserve"> for Which Construction, Reconstruction, or Modification Commenced </w:t>
            </w:r>
            <w:r w:rsidRPr="00D74F6E">
              <w:rPr>
                <w:b/>
                <w:sz w:val="22"/>
                <w:szCs w:val="22"/>
              </w:rPr>
              <w:t>After</w:t>
            </w:r>
            <w:r w:rsidRPr="000C4C3B">
              <w:rPr>
                <w:sz w:val="22"/>
                <w:szCs w:val="22"/>
              </w:rPr>
              <w:t xml:space="preserve"> July 23, 1984</w:t>
            </w:r>
          </w:p>
        </w:tc>
        <w:tc>
          <w:tcPr>
            <w:tcW w:w="972" w:type="dxa"/>
            <w:tcBorders>
              <w:top w:val="single" w:sz="6" w:space="0" w:color="000000"/>
              <w:left w:val="single" w:sz="6" w:space="0" w:color="000000"/>
              <w:bottom w:val="single" w:sz="6" w:space="0" w:color="000000"/>
              <w:right w:val="single" w:sz="6" w:space="0" w:color="000000"/>
            </w:tcBorders>
          </w:tcPr>
          <w:p w14:paraId="70F4F9CE" w14:textId="77777777" w:rsidR="00A5347B" w:rsidRDefault="004148B8" w:rsidP="0079482C">
            <w:pPr>
              <w:spacing w:after="14" w:line="240" w:lineRule="atLeast"/>
              <w:jc w:val="center"/>
            </w:pPr>
            <w:r>
              <w:t>N</w:t>
            </w:r>
          </w:p>
        </w:tc>
        <w:tc>
          <w:tcPr>
            <w:tcW w:w="1098" w:type="dxa"/>
            <w:tcBorders>
              <w:top w:val="single" w:sz="6" w:space="0" w:color="000000"/>
              <w:left w:val="single" w:sz="6" w:space="0" w:color="000000"/>
              <w:bottom w:val="single" w:sz="6" w:space="0" w:color="000000"/>
              <w:right w:val="single" w:sz="6" w:space="0" w:color="000000"/>
            </w:tcBorders>
          </w:tcPr>
          <w:p w14:paraId="01204FFF" w14:textId="77777777" w:rsidR="00A5347B" w:rsidRDefault="00A5347B" w:rsidP="0079482C">
            <w:pPr>
              <w:spacing w:after="14" w:line="240" w:lineRule="atLeast"/>
              <w:rPr>
                <w:sz w:val="22"/>
                <w:szCs w:val="22"/>
              </w:rPr>
            </w:pPr>
          </w:p>
        </w:tc>
        <w:tc>
          <w:tcPr>
            <w:tcW w:w="4500" w:type="dxa"/>
            <w:tcBorders>
              <w:top w:val="single" w:sz="6" w:space="0" w:color="000000"/>
              <w:left w:val="single" w:sz="6" w:space="0" w:color="000000"/>
              <w:bottom w:val="single" w:sz="6" w:space="0" w:color="000000"/>
              <w:right w:val="single" w:sz="6" w:space="0" w:color="000000"/>
            </w:tcBorders>
          </w:tcPr>
          <w:p w14:paraId="4FA99C5D" w14:textId="77777777" w:rsidR="00A5347B" w:rsidRPr="006B6C14" w:rsidRDefault="004148B8" w:rsidP="004148B8">
            <w:pPr>
              <w:autoSpaceDE w:val="0"/>
              <w:autoSpaceDN w:val="0"/>
              <w:adjustRightInd w:val="0"/>
            </w:pPr>
            <w:r w:rsidRPr="004148B8">
              <w:rPr>
                <w:sz w:val="22"/>
                <w:szCs w:val="22"/>
              </w:rPr>
              <w:t>Not applicable. Hobbs does not have storage vessels</w:t>
            </w:r>
            <w:r>
              <w:rPr>
                <w:sz w:val="22"/>
                <w:szCs w:val="22"/>
              </w:rPr>
              <w:t xml:space="preserve"> </w:t>
            </w:r>
            <w:r w:rsidRPr="004148B8">
              <w:rPr>
                <w:sz w:val="22"/>
                <w:szCs w:val="22"/>
              </w:rPr>
              <w:t>with a capacity greater than or equal to 75 cubic meters</w:t>
            </w:r>
            <w:r>
              <w:rPr>
                <w:sz w:val="22"/>
                <w:szCs w:val="22"/>
              </w:rPr>
              <w:t xml:space="preserve"> </w:t>
            </w:r>
            <w:r w:rsidRPr="004148B8">
              <w:rPr>
                <w:sz w:val="22"/>
                <w:szCs w:val="22"/>
              </w:rPr>
              <w:t>that is used to store volatile organic liquids (VOL) for</w:t>
            </w:r>
            <w:r>
              <w:rPr>
                <w:sz w:val="22"/>
                <w:szCs w:val="22"/>
              </w:rPr>
              <w:t xml:space="preserve"> </w:t>
            </w:r>
            <w:r w:rsidRPr="004148B8">
              <w:rPr>
                <w:sz w:val="22"/>
                <w:szCs w:val="22"/>
              </w:rPr>
              <w:t>which construction, reconstruction, or modification is</w:t>
            </w:r>
            <w:r>
              <w:rPr>
                <w:sz w:val="22"/>
                <w:szCs w:val="22"/>
              </w:rPr>
              <w:t xml:space="preserve"> </w:t>
            </w:r>
            <w:r w:rsidRPr="004148B8">
              <w:rPr>
                <w:sz w:val="22"/>
                <w:szCs w:val="22"/>
              </w:rPr>
              <w:t>commenced after July 23, 1984.</w:t>
            </w:r>
          </w:p>
        </w:tc>
      </w:tr>
      <w:tr w:rsidR="00A5347B" w:rsidRPr="000C4C3B" w14:paraId="445A1F2F" w14:textId="77777777" w:rsidTr="00A5347B">
        <w:tc>
          <w:tcPr>
            <w:tcW w:w="1620" w:type="dxa"/>
            <w:tcBorders>
              <w:top w:val="single" w:sz="6" w:space="0" w:color="000000"/>
              <w:left w:val="single" w:sz="6" w:space="0" w:color="000000"/>
              <w:bottom w:val="single" w:sz="6" w:space="0" w:color="000000"/>
              <w:right w:val="single" w:sz="6" w:space="0" w:color="000000"/>
            </w:tcBorders>
          </w:tcPr>
          <w:p w14:paraId="15E23A34" w14:textId="77777777" w:rsidR="00A5347B" w:rsidRPr="000C4C3B" w:rsidRDefault="00A5347B" w:rsidP="00FA0F04">
            <w:pPr>
              <w:widowControl w:val="0"/>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240" w:lineRule="atLeast"/>
              <w:jc w:val="center"/>
              <w:rPr>
                <w:sz w:val="22"/>
                <w:szCs w:val="22"/>
              </w:rPr>
            </w:pPr>
            <w:r w:rsidRPr="000C4C3B">
              <w:rPr>
                <w:sz w:val="22"/>
                <w:szCs w:val="22"/>
              </w:rPr>
              <w:t>40 CFR 60.330 Subpart GG</w:t>
            </w:r>
          </w:p>
        </w:tc>
        <w:tc>
          <w:tcPr>
            <w:tcW w:w="2700" w:type="dxa"/>
            <w:tcBorders>
              <w:top w:val="single" w:sz="6" w:space="0" w:color="000000"/>
              <w:left w:val="single" w:sz="6" w:space="0" w:color="000000"/>
              <w:bottom w:val="single" w:sz="6" w:space="0" w:color="000000"/>
              <w:right w:val="single" w:sz="6" w:space="0" w:color="000000"/>
            </w:tcBorders>
          </w:tcPr>
          <w:p w14:paraId="22DF9F5B" w14:textId="77777777" w:rsidR="00A5347B" w:rsidRPr="000C4C3B" w:rsidRDefault="00A5347B" w:rsidP="00FA0F04">
            <w:pPr>
              <w:widowControl w:val="0"/>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240" w:lineRule="atLeast"/>
              <w:rPr>
                <w:sz w:val="22"/>
                <w:szCs w:val="22"/>
              </w:rPr>
            </w:pPr>
            <w:r w:rsidRPr="000C4C3B">
              <w:rPr>
                <w:sz w:val="22"/>
                <w:szCs w:val="22"/>
              </w:rPr>
              <w:t>Stationary Gas Turbines</w:t>
            </w:r>
          </w:p>
        </w:tc>
        <w:tc>
          <w:tcPr>
            <w:tcW w:w="972" w:type="dxa"/>
            <w:tcBorders>
              <w:top w:val="single" w:sz="6" w:space="0" w:color="000000"/>
              <w:left w:val="single" w:sz="6" w:space="0" w:color="000000"/>
              <w:bottom w:val="single" w:sz="6" w:space="0" w:color="000000"/>
              <w:right w:val="single" w:sz="6" w:space="0" w:color="000000"/>
            </w:tcBorders>
          </w:tcPr>
          <w:p w14:paraId="77F11DF4" w14:textId="77777777" w:rsidR="00A5347B" w:rsidRPr="000C4C3B" w:rsidRDefault="004148B8" w:rsidP="00FA0F04">
            <w:pPr>
              <w:widowControl w:val="0"/>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240" w:lineRule="atLeast"/>
              <w:jc w:val="center"/>
              <w:rPr>
                <w:sz w:val="22"/>
                <w:szCs w:val="22"/>
              </w:rPr>
            </w:pPr>
            <w:r>
              <w:rPr>
                <w:sz w:val="22"/>
                <w:szCs w:val="22"/>
              </w:rPr>
              <w:t>N</w:t>
            </w:r>
          </w:p>
        </w:tc>
        <w:tc>
          <w:tcPr>
            <w:tcW w:w="1098" w:type="dxa"/>
            <w:tcBorders>
              <w:top w:val="single" w:sz="6" w:space="0" w:color="000000"/>
              <w:left w:val="single" w:sz="6" w:space="0" w:color="000000"/>
              <w:bottom w:val="single" w:sz="6" w:space="0" w:color="000000"/>
              <w:right w:val="single" w:sz="6" w:space="0" w:color="000000"/>
            </w:tcBorders>
          </w:tcPr>
          <w:p w14:paraId="781706CF" w14:textId="77777777" w:rsidR="00A5347B" w:rsidRPr="000C4C3B" w:rsidRDefault="00E90A5E" w:rsidP="00E90A5E">
            <w:pPr>
              <w:widowControl w:val="0"/>
              <w:spacing w:after="58" w:line="240" w:lineRule="atLeast"/>
              <w:rPr>
                <w:sz w:val="22"/>
                <w:szCs w:val="22"/>
              </w:rPr>
            </w:pPr>
            <w:r>
              <w:rPr>
                <w:sz w:val="22"/>
                <w:szCs w:val="22"/>
              </w:rPr>
              <w:t>HOBB-1,</w:t>
            </w:r>
            <w:r w:rsidR="004148B8">
              <w:rPr>
                <w:sz w:val="22"/>
                <w:szCs w:val="22"/>
              </w:rPr>
              <w:t xml:space="preserve"> HOBB-2</w:t>
            </w:r>
          </w:p>
        </w:tc>
        <w:tc>
          <w:tcPr>
            <w:tcW w:w="4500" w:type="dxa"/>
            <w:tcBorders>
              <w:top w:val="single" w:sz="6" w:space="0" w:color="000000"/>
              <w:left w:val="single" w:sz="6" w:space="0" w:color="000000"/>
              <w:bottom w:val="single" w:sz="6" w:space="0" w:color="000000"/>
              <w:right w:val="single" w:sz="6" w:space="0" w:color="000000"/>
            </w:tcBorders>
          </w:tcPr>
          <w:p w14:paraId="266D2611" w14:textId="77777777" w:rsidR="00A5347B" w:rsidRPr="000C4C3B" w:rsidRDefault="004148B8" w:rsidP="004148B8">
            <w:pPr>
              <w:widowControl w:val="0"/>
              <w:spacing w:after="58" w:line="240" w:lineRule="atLeast"/>
              <w:rPr>
                <w:sz w:val="22"/>
                <w:szCs w:val="22"/>
              </w:rPr>
            </w:pPr>
            <w:r>
              <w:rPr>
                <w:sz w:val="22"/>
                <w:szCs w:val="22"/>
              </w:rPr>
              <w:t xml:space="preserve">HOBB-1 and HOBB-2 were constructed after the applicability end date of this regulation which is the </w:t>
            </w:r>
            <w:r w:rsidR="00A5347B">
              <w:rPr>
                <w:sz w:val="22"/>
                <w:szCs w:val="22"/>
              </w:rPr>
              <w:t xml:space="preserve">applicability date of </w:t>
            </w:r>
            <w:r w:rsidR="00A5347B" w:rsidRPr="000D435D">
              <w:rPr>
                <w:sz w:val="22"/>
                <w:szCs w:val="22"/>
              </w:rPr>
              <w:t xml:space="preserve">February 18, 2005, </w:t>
            </w:r>
            <w:r w:rsidR="00A5347B">
              <w:rPr>
                <w:sz w:val="22"/>
                <w:szCs w:val="22"/>
              </w:rPr>
              <w:t>for Subpart</w:t>
            </w:r>
            <w:r w:rsidR="00A5347B" w:rsidRPr="000D435D">
              <w:rPr>
                <w:sz w:val="22"/>
                <w:szCs w:val="22"/>
              </w:rPr>
              <w:t xml:space="preserve"> KKKK.</w:t>
            </w:r>
          </w:p>
        </w:tc>
      </w:tr>
      <w:tr w:rsidR="00A5347B" w:rsidRPr="000C4C3B" w14:paraId="3070B1B3" w14:textId="77777777" w:rsidTr="00A5347B">
        <w:tc>
          <w:tcPr>
            <w:tcW w:w="1620" w:type="dxa"/>
            <w:tcBorders>
              <w:top w:val="single" w:sz="6" w:space="0" w:color="000000"/>
              <w:left w:val="single" w:sz="6" w:space="0" w:color="000000"/>
              <w:bottom w:val="single" w:sz="6" w:space="0" w:color="000000"/>
              <w:right w:val="single" w:sz="6" w:space="0" w:color="000000"/>
            </w:tcBorders>
          </w:tcPr>
          <w:p w14:paraId="506B3314" w14:textId="77777777" w:rsidR="00A5347B" w:rsidRPr="000C4C3B" w:rsidRDefault="00A5347B" w:rsidP="00E6024F">
            <w:pPr>
              <w:widowControl w:val="0"/>
              <w:spacing w:after="58" w:line="240" w:lineRule="atLeast"/>
              <w:rPr>
                <w:sz w:val="22"/>
                <w:szCs w:val="22"/>
              </w:rPr>
            </w:pPr>
            <w:r w:rsidRPr="000C4C3B">
              <w:rPr>
                <w:sz w:val="22"/>
                <w:szCs w:val="22"/>
              </w:rPr>
              <w:t>40 CFR Part 60 Subpart IIII</w:t>
            </w:r>
            <w:r>
              <w:rPr>
                <w:sz w:val="22"/>
                <w:szCs w:val="22"/>
              </w:rPr>
              <w:t xml:space="preserve"> (Quad-I)</w:t>
            </w:r>
          </w:p>
        </w:tc>
        <w:tc>
          <w:tcPr>
            <w:tcW w:w="2700" w:type="dxa"/>
            <w:tcBorders>
              <w:top w:val="single" w:sz="6" w:space="0" w:color="000000"/>
              <w:left w:val="single" w:sz="6" w:space="0" w:color="000000"/>
              <w:bottom w:val="single" w:sz="6" w:space="0" w:color="000000"/>
              <w:right w:val="single" w:sz="6" w:space="0" w:color="000000"/>
            </w:tcBorders>
          </w:tcPr>
          <w:p w14:paraId="3B935A69" w14:textId="77777777" w:rsidR="00A5347B" w:rsidRPr="000C4C3B" w:rsidRDefault="00A5347B" w:rsidP="00FA0F04">
            <w:pPr>
              <w:widowControl w:val="0"/>
              <w:spacing w:after="58" w:line="240" w:lineRule="atLeast"/>
              <w:rPr>
                <w:sz w:val="22"/>
                <w:szCs w:val="22"/>
              </w:rPr>
            </w:pPr>
            <w:r w:rsidRPr="000C4C3B">
              <w:rPr>
                <w:sz w:val="22"/>
                <w:szCs w:val="22"/>
              </w:rPr>
              <w:t>Standards of Performance for Stationary Compression Ignition Internal Combustion Engines</w:t>
            </w:r>
          </w:p>
        </w:tc>
        <w:tc>
          <w:tcPr>
            <w:tcW w:w="972" w:type="dxa"/>
            <w:tcBorders>
              <w:top w:val="single" w:sz="6" w:space="0" w:color="000000"/>
              <w:left w:val="single" w:sz="6" w:space="0" w:color="000000"/>
              <w:bottom w:val="single" w:sz="6" w:space="0" w:color="000000"/>
              <w:right w:val="single" w:sz="6" w:space="0" w:color="000000"/>
            </w:tcBorders>
          </w:tcPr>
          <w:p w14:paraId="1F004750" w14:textId="77777777" w:rsidR="00A5347B" w:rsidRPr="000C4C3B" w:rsidRDefault="00AA5672" w:rsidP="00FA0F04">
            <w:pPr>
              <w:widowControl w:val="0"/>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240" w:lineRule="atLeast"/>
              <w:jc w:val="center"/>
              <w:rPr>
                <w:sz w:val="22"/>
                <w:szCs w:val="22"/>
              </w:rPr>
            </w:pPr>
            <w:r>
              <w:rPr>
                <w:sz w:val="22"/>
                <w:szCs w:val="22"/>
              </w:rPr>
              <w:t>Y</w:t>
            </w:r>
          </w:p>
        </w:tc>
        <w:tc>
          <w:tcPr>
            <w:tcW w:w="1098" w:type="dxa"/>
            <w:tcBorders>
              <w:top w:val="single" w:sz="6" w:space="0" w:color="000000"/>
              <w:left w:val="single" w:sz="6" w:space="0" w:color="000000"/>
              <w:bottom w:val="single" w:sz="6" w:space="0" w:color="000000"/>
              <w:right w:val="single" w:sz="6" w:space="0" w:color="000000"/>
            </w:tcBorders>
          </w:tcPr>
          <w:p w14:paraId="68BC8161" w14:textId="77777777" w:rsidR="00A5347B" w:rsidRPr="000C4C3B" w:rsidRDefault="00AA5672" w:rsidP="00AA5672">
            <w:pPr>
              <w:widowControl w:val="0"/>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240" w:lineRule="atLeast"/>
              <w:jc w:val="center"/>
              <w:rPr>
                <w:sz w:val="22"/>
                <w:szCs w:val="22"/>
              </w:rPr>
            </w:pPr>
            <w:r>
              <w:rPr>
                <w:sz w:val="22"/>
                <w:szCs w:val="22"/>
              </w:rPr>
              <w:t>G-1</w:t>
            </w:r>
          </w:p>
        </w:tc>
        <w:tc>
          <w:tcPr>
            <w:tcW w:w="4500" w:type="dxa"/>
            <w:tcBorders>
              <w:top w:val="single" w:sz="6" w:space="0" w:color="000000"/>
              <w:left w:val="single" w:sz="6" w:space="0" w:color="000000"/>
              <w:bottom w:val="single" w:sz="6" w:space="0" w:color="000000"/>
              <w:right w:val="single" w:sz="6" w:space="0" w:color="000000"/>
            </w:tcBorders>
          </w:tcPr>
          <w:p w14:paraId="22BC64B8" w14:textId="3ABDA701" w:rsidR="00A5347B" w:rsidRPr="000C4C3B" w:rsidRDefault="004148B8" w:rsidP="004148B8">
            <w:pPr>
              <w:autoSpaceDE w:val="0"/>
              <w:autoSpaceDN w:val="0"/>
              <w:adjustRightInd w:val="0"/>
              <w:rPr>
                <w:sz w:val="22"/>
                <w:szCs w:val="22"/>
              </w:rPr>
            </w:pPr>
            <w:r w:rsidRPr="004148B8">
              <w:rPr>
                <w:sz w:val="22"/>
                <w:szCs w:val="22"/>
              </w:rPr>
              <w:t xml:space="preserve">Hobbs Diesel Standby Generator </w:t>
            </w:r>
            <w:r w:rsidR="00CE6C13">
              <w:rPr>
                <w:sz w:val="22"/>
                <w:szCs w:val="22"/>
              </w:rPr>
              <w:t xml:space="preserve">(G-1) </w:t>
            </w:r>
            <w:r w:rsidRPr="004148B8">
              <w:rPr>
                <w:sz w:val="22"/>
                <w:szCs w:val="22"/>
              </w:rPr>
              <w:t>was manufactured</w:t>
            </w:r>
            <w:r>
              <w:rPr>
                <w:sz w:val="22"/>
                <w:szCs w:val="22"/>
              </w:rPr>
              <w:t xml:space="preserve"> </w:t>
            </w:r>
            <w:r w:rsidRPr="004148B8">
              <w:rPr>
                <w:sz w:val="22"/>
                <w:szCs w:val="22"/>
              </w:rPr>
              <w:t>after July 1, 2006 and is not a fire pump engine.</w:t>
            </w:r>
            <w:r>
              <w:rPr>
                <w:sz w:val="22"/>
                <w:szCs w:val="22"/>
              </w:rPr>
              <w:t xml:space="preserve">  </w:t>
            </w:r>
            <w:r w:rsidRPr="004148B8">
              <w:rPr>
                <w:sz w:val="22"/>
                <w:szCs w:val="22"/>
              </w:rPr>
              <w:t>Therefore</w:t>
            </w:r>
            <w:r w:rsidR="002716D6">
              <w:rPr>
                <w:sz w:val="22"/>
                <w:szCs w:val="22"/>
              </w:rPr>
              <w:t>,</w:t>
            </w:r>
            <w:r w:rsidRPr="004148B8">
              <w:rPr>
                <w:sz w:val="22"/>
                <w:szCs w:val="22"/>
              </w:rPr>
              <w:t xml:space="preserve"> this unit is subject to the provisions of</w:t>
            </w:r>
            <w:r>
              <w:rPr>
                <w:sz w:val="22"/>
                <w:szCs w:val="22"/>
              </w:rPr>
              <w:t xml:space="preserve"> </w:t>
            </w:r>
            <w:r w:rsidRPr="004148B8">
              <w:rPr>
                <w:sz w:val="22"/>
                <w:szCs w:val="22"/>
              </w:rPr>
              <w:t>NSPS IIII, (§60.4200(a)(2)(i)). Hobbs Diesel Fire</w:t>
            </w:r>
            <w:r>
              <w:rPr>
                <w:sz w:val="22"/>
                <w:szCs w:val="22"/>
              </w:rPr>
              <w:t xml:space="preserve"> </w:t>
            </w:r>
            <w:r w:rsidRPr="004148B8">
              <w:rPr>
                <w:sz w:val="22"/>
                <w:szCs w:val="22"/>
              </w:rPr>
              <w:t>Water Pump</w:t>
            </w:r>
            <w:r w:rsidR="00CE6C13">
              <w:rPr>
                <w:sz w:val="22"/>
                <w:szCs w:val="22"/>
              </w:rPr>
              <w:t xml:space="preserve"> (FP-1)</w:t>
            </w:r>
            <w:r w:rsidRPr="004148B8">
              <w:rPr>
                <w:sz w:val="22"/>
                <w:szCs w:val="22"/>
              </w:rPr>
              <w:t>, was manufactured and constructed in</w:t>
            </w:r>
            <w:r>
              <w:rPr>
                <w:sz w:val="22"/>
                <w:szCs w:val="22"/>
              </w:rPr>
              <w:t xml:space="preserve"> </w:t>
            </w:r>
            <w:r w:rsidR="003420B1">
              <w:rPr>
                <w:sz w:val="22"/>
                <w:szCs w:val="22"/>
              </w:rPr>
              <w:t>200</w:t>
            </w:r>
            <w:r w:rsidRPr="004148B8">
              <w:rPr>
                <w:sz w:val="22"/>
                <w:szCs w:val="22"/>
              </w:rPr>
              <w:t>1, before all applicable trigger dates in the rule;</w:t>
            </w:r>
            <w:r>
              <w:rPr>
                <w:sz w:val="22"/>
                <w:szCs w:val="22"/>
              </w:rPr>
              <w:t xml:space="preserve"> </w:t>
            </w:r>
            <w:r w:rsidR="002708B7" w:rsidRPr="004148B8">
              <w:rPr>
                <w:sz w:val="22"/>
                <w:szCs w:val="22"/>
              </w:rPr>
              <w:t>therefore,</w:t>
            </w:r>
            <w:r w:rsidRPr="004148B8">
              <w:rPr>
                <w:sz w:val="22"/>
                <w:szCs w:val="22"/>
              </w:rPr>
              <w:t xml:space="preserve"> it is not subject to NSPS IIII.</w:t>
            </w:r>
          </w:p>
        </w:tc>
      </w:tr>
      <w:tr w:rsidR="00A01BEB" w:rsidRPr="000C4C3B" w14:paraId="67D7C2D2" w14:textId="77777777" w:rsidTr="00713FAC">
        <w:tc>
          <w:tcPr>
            <w:tcW w:w="1620" w:type="dxa"/>
            <w:tcBorders>
              <w:top w:val="single" w:sz="6" w:space="0" w:color="000000"/>
              <w:left w:val="single" w:sz="6" w:space="0" w:color="000000"/>
              <w:bottom w:val="single" w:sz="6" w:space="0" w:color="000000"/>
              <w:right w:val="single" w:sz="6" w:space="0" w:color="000000"/>
            </w:tcBorders>
            <w:vAlign w:val="center"/>
          </w:tcPr>
          <w:p w14:paraId="197B1310" w14:textId="3855E6B3" w:rsidR="00A01BEB" w:rsidRPr="00A01BEB" w:rsidRDefault="00A01BEB" w:rsidP="00A01BEB">
            <w:pPr>
              <w:spacing w:before="30" w:after="30"/>
              <w:rPr>
                <w:sz w:val="22"/>
                <w:szCs w:val="22"/>
              </w:rPr>
            </w:pPr>
            <w:r w:rsidRPr="00A01BEB">
              <w:rPr>
                <w:sz w:val="22"/>
                <w:szCs w:val="22"/>
              </w:rPr>
              <w:t>NSPS</w:t>
            </w:r>
          </w:p>
          <w:p w14:paraId="219712F3" w14:textId="77777777" w:rsidR="00A01BEB" w:rsidRPr="00A01BEB" w:rsidRDefault="00A01BEB" w:rsidP="00A01BEB">
            <w:pPr>
              <w:spacing w:before="30" w:after="30"/>
              <w:rPr>
                <w:sz w:val="22"/>
                <w:szCs w:val="22"/>
              </w:rPr>
            </w:pPr>
            <w:r w:rsidRPr="00A01BEB">
              <w:rPr>
                <w:sz w:val="22"/>
                <w:szCs w:val="22"/>
              </w:rPr>
              <w:t>40 CFR 60 Subpart</w:t>
            </w:r>
          </w:p>
          <w:p w14:paraId="6A215443" w14:textId="3BBEA85A" w:rsidR="00A01BEB" w:rsidRPr="000C4C3B" w:rsidRDefault="00A01BEB" w:rsidP="00A01BEB">
            <w:pPr>
              <w:widowControl w:val="0"/>
              <w:spacing w:after="58" w:line="240" w:lineRule="atLeast"/>
              <w:rPr>
                <w:sz w:val="22"/>
                <w:szCs w:val="22"/>
              </w:rPr>
            </w:pPr>
            <w:r w:rsidRPr="00A01BEB">
              <w:rPr>
                <w:sz w:val="22"/>
                <w:szCs w:val="22"/>
              </w:rPr>
              <w:t>OOOO</w:t>
            </w:r>
          </w:p>
        </w:tc>
        <w:tc>
          <w:tcPr>
            <w:tcW w:w="2700" w:type="dxa"/>
            <w:tcBorders>
              <w:top w:val="single" w:sz="6" w:space="0" w:color="000000"/>
              <w:left w:val="single" w:sz="6" w:space="0" w:color="000000"/>
              <w:bottom w:val="single" w:sz="6" w:space="0" w:color="000000"/>
              <w:right w:val="single" w:sz="6" w:space="0" w:color="000000"/>
            </w:tcBorders>
            <w:vAlign w:val="center"/>
          </w:tcPr>
          <w:p w14:paraId="1BAA7B96" w14:textId="1C4D67C1" w:rsidR="00A01BEB" w:rsidRPr="000C4C3B" w:rsidRDefault="00A01BEB" w:rsidP="00A01BEB">
            <w:pPr>
              <w:widowControl w:val="0"/>
              <w:spacing w:after="58" w:line="240" w:lineRule="atLeast"/>
              <w:rPr>
                <w:sz w:val="22"/>
                <w:szCs w:val="22"/>
              </w:rPr>
            </w:pPr>
            <w:r w:rsidRPr="00A01BEB">
              <w:rPr>
                <w:sz w:val="22"/>
                <w:szCs w:val="22"/>
              </w:rPr>
              <w:t>Crude Oil and Natural Gas Production, Transmission, and Distribution</w:t>
            </w:r>
          </w:p>
        </w:tc>
        <w:tc>
          <w:tcPr>
            <w:tcW w:w="972" w:type="dxa"/>
            <w:tcBorders>
              <w:top w:val="single" w:sz="6" w:space="0" w:color="000000"/>
              <w:left w:val="single" w:sz="6" w:space="0" w:color="000000"/>
              <w:bottom w:val="single" w:sz="6" w:space="0" w:color="000000"/>
              <w:right w:val="single" w:sz="6" w:space="0" w:color="000000"/>
            </w:tcBorders>
          </w:tcPr>
          <w:p w14:paraId="7653FCE2" w14:textId="541F8E09" w:rsidR="00A01BEB" w:rsidRDefault="00A01BEB" w:rsidP="00A01BEB">
            <w:pPr>
              <w:widowControl w:val="0"/>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240" w:lineRule="atLeast"/>
              <w:jc w:val="center"/>
              <w:rPr>
                <w:sz w:val="22"/>
                <w:szCs w:val="22"/>
              </w:rPr>
            </w:pPr>
            <w:r>
              <w:rPr>
                <w:sz w:val="22"/>
                <w:szCs w:val="22"/>
              </w:rPr>
              <w:t>N</w:t>
            </w:r>
          </w:p>
        </w:tc>
        <w:tc>
          <w:tcPr>
            <w:tcW w:w="1098" w:type="dxa"/>
            <w:tcBorders>
              <w:top w:val="single" w:sz="6" w:space="0" w:color="000000"/>
              <w:left w:val="single" w:sz="6" w:space="0" w:color="000000"/>
              <w:bottom w:val="single" w:sz="6" w:space="0" w:color="000000"/>
              <w:right w:val="single" w:sz="6" w:space="0" w:color="000000"/>
            </w:tcBorders>
          </w:tcPr>
          <w:p w14:paraId="0F1970AD" w14:textId="77777777" w:rsidR="00A01BEB" w:rsidRDefault="00A01BEB" w:rsidP="00A01BEB">
            <w:pPr>
              <w:widowControl w:val="0"/>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240" w:lineRule="atLeast"/>
              <w:jc w:val="center"/>
              <w:rPr>
                <w:sz w:val="22"/>
                <w:szCs w:val="22"/>
              </w:rPr>
            </w:pPr>
          </w:p>
        </w:tc>
        <w:tc>
          <w:tcPr>
            <w:tcW w:w="4500" w:type="dxa"/>
            <w:tcBorders>
              <w:top w:val="single" w:sz="6" w:space="0" w:color="000000"/>
              <w:left w:val="single" w:sz="6" w:space="0" w:color="000000"/>
              <w:bottom w:val="single" w:sz="6" w:space="0" w:color="000000"/>
              <w:right w:val="single" w:sz="6" w:space="0" w:color="000000"/>
            </w:tcBorders>
          </w:tcPr>
          <w:p w14:paraId="5E045903" w14:textId="4AF27FD9" w:rsidR="00A01BEB" w:rsidRPr="004148B8" w:rsidRDefault="00A01BEB" w:rsidP="00A01BEB">
            <w:pPr>
              <w:autoSpaceDE w:val="0"/>
              <w:autoSpaceDN w:val="0"/>
              <w:adjustRightInd w:val="0"/>
              <w:rPr>
                <w:sz w:val="22"/>
                <w:szCs w:val="22"/>
              </w:rPr>
            </w:pPr>
            <w:r w:rsidRPr="00A01BEB">
              <w:rPr>
                <w:sz w:val="22"/>
                <w:szCs w:val="22"/>
              </w:rPr>
              <w:t>Not applicable.  Hobbs is not a Crude Oil and Natural Gas Production, Transmission and Distribution facility.</w:t>
            </w:r>
          </w:p>
        </w:tc>
      </w:tr>
      <w:tr w:rsidR="004148B8" w:rsidRPr="000C4C3B" w14:paraId="5F87BB82" w14:textId="77777777" w:rsidTr="00A5347B">
        <w:tc>
          <w:tcPr>
            <w:tcW w:w="1620" w:type="dxa"/>
            <w:tcBorders>
              <w:top w:val="single" w:sz="6" w:space="0" w:color="000000"/>
              <w:left w:val="single" w:sz="6" w:space="0" w:color="000000"/>
              <w:bottom w:val="single" w:sz="6" w:space="0" w:color="000000"/>
              <w:right w:val="single" w:sz="6" w:space="0" w:color="000000"/>
            </w:tcBorders>
          </w:tcPr>
          <w:p w14:paraId="6E5DE51C" w14:textId="77777777" w:rsidR="004148B8" w:rsidRPr="000C4C3B" w:rsidRDefault="004148B8" w:rsidP="00D8394C">
            <w:pPr>
              <w:widowControl w:val="0"/>
              <w:spacing w:after="58" w:line="240" w:lineRule="atLeast"/>
              <w:rPr>
                <w:sz w:val="22"/>
                <w:szCs w:val="22"/>
              </w:rPr>
            </w:pPr>
            <w:r w:rsidRPr="000C4C3B">
              <w:rPr>
                <w:sz w:val="22"/>
                <w:szCs w:val="22"/>
              </w:rPr>
              <w:t xml:space="preserve">40 CFR Part 60 Subpart </w:t>
            </w:r>
            <w:r>
              <w:rPr>
                <w:sz w:val="22"/>
                <w:szCs w:val="22"/>
              </w:rPr>
              <w:t>KKKK</w:t>
            </w:r>
          </w:p>
        </w:tc>
        <w:tc>
          <w:tcPr>
            <w:tcW w:w="2700" w:type="dxa"/>
            <w:tcBorders>
              <w:top w:val="single" w:sz="6" w:space="0" w:color="000000"/>
              <w:left w:val="single" w:sz="6" w:space="0" w:color="000000"/>
              <w:bottom w:val="single" w:sz="6" w:space="0" w:color="000000"/>
              <w:right w:val="single" w:sz="6" w:space="0" w:color="000000"/>
            </w:tcBorders>
          </w:tcPr>
          <w:p w14:paraId="232B4F25" w14:textId="77777777" w:rsidR="004148B8" w:rsidRPr="000C4C3B" w:rsidRDefault="004148B8" w:rsidP="00D8394C">
            <w:pPr>
              <w:widowControl w:val="0"/>
              <w:spacing w:after="58" w:line="240" w:lineRule="atLeast"/>
              <w:rPr>
                <w:sz w:val="22"/>
                <w:szCs w:val="22"/>
              </w:rPr>
            </w:pPr>
            <w:r w:rsidRPr="000C4C3B">
              <w:rPr>
                <w:sz w:val="22"/>
                <w:szCs w:val="22"/>
              </w:rPr>
              <w:t xml:space="preserve">Standards of Performance for Stationary Combustion </w:t>
            </w:r>
            <w:r>
              <w:rPr>
                <w:sz w:val="22"/>
                <w:szCs w:val="22"/>
              </w:rPr>
              <w:t>Turbines</w:t>
            </w:r>
          </w:p>
        </w:tc>
        <w:tc>
          <w:tcPr>
            <w:tcW w:w="972" w:type="dxa"/>
            <w:tcBorders>
              <w:top w:val="single" w:sz="6" w:space="0" w:color="000000"/>
              <w:left w:val="single" w:sz="6" w:space="0" w:color="000000"/>
              <w:bottom w:val="single" w:sz="6" w:space="0" w:color="000000"/>
              <w:right w:val="single" w:sz="6" w:space="0" w:color="000000"/>
            </w:tcBorders>
          </w:tcPr>
          <w:p w14:paraId="4F880E8A" w14:textId="77777777" w:rsidR="004148B8" w:rsidRPr="000C4C3B" w:rsidRDefault="00AA5672" w:rsidP="00D8394C">
            <w:pPr>
              <w:widowControl w:val="0"/>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240" w:lineRule="atLeast"/>
              <w:jc w:val="center"/>
              <w:rPr>
                <w:sz w:val="22"/>
                <w:szCs w:val="22"/>
              </w:rPr>
            </w:pPr>
            <w:r>
              <w:rPr>
                <w:sz w:val="22"/>
                <w:szCs w:val="22"/>
              </w:rPr>
              <w:t>Y</w:t>
            </w:r>
          </w:p>
        </w:tc>
        <w:tc>
          <w:tcPr>
            <w:tcW w:w="1098" w:type="dxa"/>
            <w:tcBorders>
              <w:top w:val="single" w:sz="6" w:space="0" w:color="000000"/>
              <w:left w:val="single" w:sz="6" w:space="0" w:color="000000"/>
              <w:bottom w:val="single" w:sz="6" w:space="0" w:color="000000"/>
              <w:right w:val="single" w:sz="6" w:space="0" w:color="000000"/>
            </w:tcBorders>
          </w:tcPr>
          <w:p w14:paraId="31A2A4A4" w14:textId="77777777" w:rsidR="004148B8" w:rsidRPr="000C4C3B" w:rsidRDefault="004148B8" w:rsidP="00AA5672">
            <w:pPr>
              <w:pStyle w:val="CommentText"/>
              <w:autoSpaceDE/>
              <w:autoSpaceDN/>
              <w:adjustRightInd/>
              <w:spacing w:after="58" w:line="240" w:lineRule="atLeast"/>
              <w:rPr>
                <w:sz w:val="22"/>
                <w:szCs w:val="22"/>
              </w:rPr>
            </w:pPr>
            <w:r>
              <w:rPr>
                <w:sz w:val="22"/>
                <w:szCs w:val="22"/>
              </w:rPr>
              <w:t>HOBB-1/DB-1 &amp; HOBB-2/DB-2</w:t>
            </w:r>
          </w:p>
        </w:tc>
        <w:tc>
          <w:tcPr>
            <w:tcW w:w="4500" w:type="dxa"/>
            <w:tcBorders>
              <w:top w:val="single" w:sz="6" w:space="0" w:color="000000"/>
              <w:left w:val="single" w:sz="6" w:space="0" w:color="000000"/>
              <w:bottom w:val="single" w:sz="6" w:space="0" w:color="000000"/>
              <w:right w:val="single" w:sz="6" w:space="0" w:color="000000"/>
            </w:tcBorders>
          </w:tcPr>
          <w:p w14:paraId="4792FF9E" w14:textId="77777777" w:rsidR="004148B8" w:rsidRPr="004148B8" w:rsidRDefault="004148B8" w:rsidP="004148B8">
            <w:pPr>
              <w:autoSpaceDE w:val="0"/>
              <w:autoSpaceDN w:val="0"/>
              <w:adjustRightInd w:val="0"/>
              <w:rPr>
                <w:sz w:val="22"/>
                <w:szCs w:val="22"/>
              </w:rPr>
            </w:pPr>
            <w:r w:rsidRPr="004148B8">
              <w:rPr>
                <w:sz w:val="22"/>
                <w:szCs w:val="22"/>
              </w:rPr>
              <w:t>HOBB-1 and HOBB-2 are stationary combustion</w:t>
            </w:r>
          </w:p>
          <w:p w14:paraId="6D653AA5" w14:textId="0BC53975" w:rsidR="004148B8" w:rsidRPr="000C4C3B" w:rsidRDefault="004148B8" w:rsidP="003420B1">
            <w:pPr>
              <w:autoSpaceDE w:val="0"/>
              <w:autoSpaceDN w:val="0"/>
              <w:adjustRightInd w:val="0"/>
              <w:rPr>
                <w:sz w:val="22"/>
                <w:szCs w:val="22"/>
              </w:rPr>
            </w:pPr>
            <w:r w:rsidRPr="004148B8">
              <w:rPr>
                <w:sz w:val="22"/>
                <w:szCs w:val="22"/>
              </w:rPr>
              <w:t>turbines with a heat input at peak load greater than 10</w:t>
            </w:r>
            <w:r>
              <w:rPr>
                <w:sz w:val="22"/>
                <w:szCs w:val="22"/>
              </w:rPr>
              <w:t xml:space="preserve"> </w:t>
            </w:r>
            <w:r w:rsidRPr="004148B8">
              <w:rPr>
                <w:sz w:val="22"/>
                <w:szCs w:val="22"/>
              </w:rPr>
              <w:t>MMBtu/hr (HHV) and commenced construction after</w:t>
            </w:r>
            <w:r>
              <w:rPr>
                <w:sz w:val="22"/>
                <w:szCs w:val="22"/>
              </w:rPr>
              <w:t xml:space="preserve"> </w:t>
            </w:r>
            <w:r w:rsidRPr="004148B8">
              <w:rPr>
                <w:sz w:val="22"/>
                <w:szCs w:val="22"/>
              </w:rPr>
              <w:t xml:space="preserve">February 18, 2005. Therefore </w:t>
            </w:r>
            <w:r w:rsidR="002708B7">
              <w:rPr>
                <w:sz w:val="22"/>
                <w:szCs w:val="22"/>
              </w:rPr>
              <w:t>,</w:t>
            </w:r>
            <w:bookmarkStart w:id="0" w:name="_GoBack"/>
            <w:bookmarkEnd w:id="0"/>
            <w:r w:rsidRPr="004148B8">
              <w:rPr>
                <w:sz w:val="22"/>
                <w:szCs w:val="22"/>
              </w:rPr>
              <w:t>the units are subject to</w:t>
            </w:r>
            <w:r>
              <w:rPr>
                <w:sz w:val="22"/>
                <w:szCs w:val="22"/>
              </w:rPr>
              <w:t xml:space="preserve"> </w:t>
            </w:r>
            <w:r w:rsidRPr="004148B8">
              <w:rPr>
                <w:sz w:val="22"/>
                <w:szCs w:val="22"/>
              </w:rPr>
              <w:t>the provisions of NSPS KKKK. The HRSG duct</w:t>
            </w:r>
            <w:r>
              <w:rPr>
                <w:sz w:val="22"/>
                <w:szCs w:val="22"/>
              </w:rPr>
              <w:t xml:space="preserve"> </w:t>
            </w:r>
            <w:r w:rsidRPr="004148B8">
              <w:rPr>
                <w:sz w:val="22"/>
                <w:szCs w:val="22"/>
              </w:rPr>
              <w:t>burners</w:t>
            </w:r>
            <w:r w:rsidR="00CE6C13">
              <w:rPr>
                <w:sz w:val="22"/>
                <w:szCs w:val="22"/>
              </w:rPr>
              <w:t xml:space="preserve"> (DB-1 &amp; DB-2)</w:t>
            </w:r>
            <w:r w:rsidRPr="004148B8">
              <w:rPr>
                <w:sz w:val="22"/>
                <w:szCs w:val="22"/>
              </w:rPr>
              <w:t xml:space="preserve">, </w:t>
            </w:r>
            <w:r w:rsidR="003420B1">
              <w:rPr>
                <w:sz w:val="22"/>
                <w:szCs w:val="22"/>
              </w:rPr>
              <w:t>al</w:t>
            </w:r>
            <w:r w:rsidRPr="004148B8">
              <w:rPr>
                <w:sz w:val="22"/>
                <w:szCs w:val="22"/>
              </w:rPr>
              <w:t xml:space="preserve">though </w:t>
            </w:r>
            <w:r w:rsidR="003420B1">
              <w:rPr>
                <w:sz w:val="22"/>
                <w:szCs w:val="22"/>
              </w:rPr>
              <w:t xml:space="preserve">their peak heat input is </w:t>
            </w:r>
            <w:r w:rsidRPr="004148B8">
              <w:rPr>
                <w:sz w:val="22"/>
                <w:szCs w:val="22"/>
              </w:rPr>
              <w:t xml:space="preserve">not accounted </w:t>
            </w:r>
            <w:r w:rsidR="003420B1">
              <w:rPr>
                <w:sz w:val="22"/>
                <w:szCs w:val="22"/>
              </w:rPr>
              <w:t>for in the applicability test</w:t>
            </w:r>
            <w:r w:rsidRPr="004148B8">
              <w:rPr>
                <w:sz w:val="22"/>
                <w:szCs w:val="22"/>
              </w:rPr>
              <w:t>,</w:t>
            </w:r>
            <w:r>
              <w:rPr>
                <w:sz w:val="22"/>
                <w:szCs w:val="22"/>
              </w:rPr>
              <w:t xml:space="preserve"> </w:t>
            </w:r>
            <w:r w:rsidR="003420B1">
              <w:rPr>
                <w:sz w:val="22"/>
                <w:szCs w:val="22"/>
              </w:rPr>
              <w:t>are</w:t>
            </w:r>
            <w:r w:rsidRPr="004148B8">
              <w:rPr>
                <w:sz w:val="22"/>
                <w:szCs w:val="22"/>
              </w:rPr>
              <w:t xml:space="preserve"> subject to the provisions of NSPS KKKK.</w:t>
            </w:r>
            <w:r w:rsidR="00DB6932">
              <w:rPr>
                <w:sz w:val="22"/>
                <w:szCs w:val="22"/>
              </w:rPr>
              <w:t xml:space="preserve">  The GHG revisions to Subpart Da and KKKK were proposed on June 18, 2014.  The proposed revisions for modified or reconstructed sources are not applicable to these units.  The Facility </w:t>
            </w:r>
            <w:r w:rsidR="00DB6932">
              <w:rPr>
                <w:sz w:val="22"/>
                <w:szCs w:val="22"/>
              </w:rPr>
              <w:lastRenderedPageBreak/>
              <w:t>entered into a contract for the modification to the Gas Turbines in March 2014 and therefore Commenced modification prior to the proposal date of the GHG amendments.</w:t>
            </w:r>
          </w:p>
        </w:tc>
      </w:tr>
      <w:tr w:rsidR="00430952" w:rsidRPr="000C4C3B" w14:paraId="22210E7B" w14:textId="77777777" w:rsidTr="00A5347B">
        <w:tc>
          <w:tcPr>
            <w:tcW w:w="1620" w:type="dxa"/>
            <w:tcBorders>
              <w:top w:val="single" w:sz="6" w:space="0" w:color="000000"/>
              <w:left w:val="single" w:sz="6" w:space="0" w:color="000000"/>
              <w:bottom w:val="single" w:sz="6" w:space="0" w:color="000000"/>
              <w:right w:val="single" w:sz="6" w:space="0" w:color="000000"/>
            </w:tcBorders>
          </w:tcPr>
          <w:p w14:paraId="39F97DFD" w14:textId="14B5F5EE" w:rsidR="00430952" w:rsidRPr="000C4C3B" w:rsidRDefault="00430952" w:rsidP="00D8394C">
            <w:pPr>
              <w:widowControl w:val="0"/>
              <w:spacing w:after="58" w:line="240" w:lineRule="atLeast"/>
              <w:rPr>
                <w:sz w:val="22"/>
                <w:szCs w:val="22"/>
              </w:rPr>
            </w:pPr>
            <w:r w:rsidRPr="000C4C3B">
              <w:rPr>
                <w:sz w:val="22"/>
                <w:szCs w:val="22"/>
              </w:rPr>
              <w:lastRenderedPageBreak/>
              <w:t xml:space="preserve">40 CFR Part 60 Subpart </w:t>
            </w:r>
            <w:r>
              <w:rPr>
                <w:sz w:val="22"/>
                <w:szCs w:val="22"/>
              </w:rPr>
              <w:t>UUUU</w:t>
            </w:r>
          </w:p>
        </w:tc>
        <w:tc>
          <w:tcPr>
            <w:tcW w:w="2700" w:type="dxa"/>
            <w:tcBorders>
              <w:top w:val="single" w:sz="6" w:space="0" w:color="000000"/>
              <w:left w:val="single" w:sz="6" w:space="0" w:color="000000"/>
              <w:bottom w:val="single" w:sz="6" w:space="0" w:color="000000"/>
              <w:right w:val="single" w:sz="6" w:space="0" w:color="000000"/>
            </w:tcBorders>
          </w:tcPr>
          <w:p w14:paraId="3363233C" w14:textId="007768C6" w:rsidR="00430952" w:rsidRPr="000C4C3B" w:rsidRDefault="00430952" w:rsidP="00D8394C">
            <w:pPr>
              <w:widowControl w:val="0"/>
              <w:spacing w:after="58" w:line="240" w:lineRule="atLeast"/>
              <w:rPr>
                <w:sz w:val="22"/>
                <w:szCs w:val="22"/>
              </w:rPr>
            </w:pPr>
            <w:r w:rsidRPr="00430952">
              <w:rPr>
                <w:sz w:val="22"/>
                <w:szCs w:val="22"/>
              </w:rPr>
              <w:t>Emission Guidelines for Greenhouse Gas Emissions and Compliance Times for Electric Utility Generating Units</w:t>
            </w:r>
          </w:p>
        </w:tc>
        <w:tc>
          <w:tcPr>
            <w:tcW w:w="972" w:type="dxa"/>
            <w:tcBorders>
              <w:top w:val="single" w:sz="6" w:space="0" w:color="000000"/>
              <w:left w:val="single" w:sz="6" w:space="0" w:color="000000"/>
              <w:bottom w:val="single" w:sz="6" w:space="0" w:color="000000"/>
              <w:right w:val="single" w:sz="6" w:space="0" w:color="000000"/>
            </w:tcBorders>
          </w:tcPr>
          <w:p w14:paraId="7D4B8F4F" w14:textId="7FFB1E1C" w:rsidR="00430952" w:rsidRDefault="00430952" w:rsidP="00D8394C">
            <w:pPr>
              <w:widowControl w:val="0"/>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240" w:lineRule="atLeast"/>
              <w:jc w:val="center"/>
              <w:rPr>
                <w:sz w:val="22"/>
                <w:szCs w:val="22"/>
              </w:rPr>
            </w:pPr>
            <w:r>
              <w:rPr>
                <w:sz w:val="22"/>
                <w:szCs w:val="22"/>
              </w:rPr>
              <w:t>Y</w:t>
            </w:r>
          </w:p>
        </w:tc>
        <w:tc>
          <w:tcPr>
            <w:tcW w:w="1098" w:type="dxa"/>
            <w:tcBorders>
              <w:top w:val="single" w:sz="6" w:space="0" w:color="000000"/>
              <w:left w:val="single" w:sz="6" w:space="0" w:color="000000"/>
              <w:bottom w:val="single" w:sz="6" w:space="0" w:color="000000"/>
              <w:right w:val="single" w:sz="6" w:space="0" w:color="000000"/>
            </w:tcBorders>
          </w:tcPr>
          <w:p w14:paraId="56C5B3B9" w14:textId="56776E4C" w:rsidR="00430952" w:rsidRDefault="00DF5DDE" w:rsidP="00AA5672">
            <w:pPr>
              <w:pStyle w:val="CommentText"/>
              <w:autoSpaceDE/>
              <w:autoSpaceDN/>
              <w:adjustRightInd/>
              <w:spacing w:after="58" w:line="240" w:lineRule="atLeast"/>
              <w:rPr>
                <w:sz w:val="22"/>
                <w:szCs w:val="22"/>
              </w:rPr>
            </w:pPr>
            <w:r>
              <w:rPr>
                <w:sz w:val="22"/>
                <w:szCs w:val="22"/>
              </w:rPr>
              <w:t>None</w:t>
            </w:r>
          </w:p>
        </w:tc>
        <w:tc>
          <w:tcPr>
            <w:tcW w:w="4500" w:type="dxa"/>
            <w:tcBorders>
              <w:top w:val="single" w:sz="6" w:space="0" w:color="000000"/>
              <w:left w:val="single" w:sz="6" w:space="0" w:color="000000"/>
              <w:bottom w:val="single" w:sz="6" w:space="0" w:color="000000"/>
              <w:right w:val="single" w:sz="6" w:space="0" w:color="000000"/>
            </w:tcBorders>
          </w:tcPr>
          <w:p w14:paraId="798C9AF1" w14:textId="091662C2" w:rsidR="00430952" w:rsidRPr="004148B8" w:rsidRDefault="00430952" w:rsidP="00430952">
            <w:pPr>
              <w:autoSpaceDE w:val="0"/>
              <w:autoSpaceDN w:val="0"/>
              <w:adjustRightInd w:val="0"/>
              <w:rPr>
                <w:sz w:val="22"/>
                <w:szCs w:val="22"/>
              </w:rPr>
            </w:pPr>
            <w:r>
              <w:rPr>
                <w:sz w:val="22"/>
                <w:szCs w:val="22"/>
              </w:rPr>
              <w:t xml:space="preserve">This subpart requires </w:t>
            </w:r>
            <w:r w:rsidRPr="00DF5DDE">
              <w:rPr>
                <w:b/>
                <w:sz w:val="22"/>
                <w:szCs w:val="22"/>
              </w:rPr>
              <w:t>states</w:t>
            </w:r>
            <w:r>
              <w:rPr>
                <w:sz w:val="22"/>
                <w:szCs w:val="22"/>
              </w:rPr>
              <w:t xml:space="preserve"> to develop a plan and emission limits for EGUs. Hobbs appears to fit the definition of an affected EGU under 60.5845(b)</w:t>
            </w:r>
          </w:p>
        </w:tc>
      </w:tr>
    </w:tbl>
    <w:p w14:paraId="753155E5" w14:textId="77777777" w:rsidR="00BF43B7" w:rsidRPr="000C4C3B" w:rsidRDefault="00BF43B7" w:rsidP="00FA0F04">
      <w:pPr>
        <w:widowControl w:val="0"/>
        <w:rPr>
          <w:sz w:val="22"/>
          <w:szCs w:val="22"/>
        </w:rPr>
      </w:pPr>
    </w:p>
    <w:tbl>
      <w:tblPr>
        <w:tblW w:w="10890" w:type="dxa"/>
        <w:tblInd w:w="-558" w:type="dxa"/>
        <w:tblLayout w:type="fixed"/>
        <w:tblCellMar>
          <w:left w:w="72" w:type="dxa"/>
          <w:right w:w="72" w:type="dxa"/>
        </w:tblCellMar>
        <w:tblLook w:val="0000" w:firstRow="0" w:lastRow="0" w:firstColumn="0" w:lastColumn="0" w:noHBand="0" w:noVBand="0"/>
      </w:tblPr>
      <w:tblGrid>
        <w:gridCol w:w="1620"/>
        <w:gridCol w:w="2700"/>
        <w:gridCol w:w="972"/>
        <w:gridCol w:w="1098"/>
        <w:gridCol w:w="4500"/>
      </w:tblGrid>
      <w:tr w:rsidR="00A5347B" w:rsidRPr="000C4C3B" w14:paraId="77259037" w14:textId="77777777" w:rsidTr="00A5347B">
        <w:trPr>
          <w:cantSplit/>
          <w:tblHeader/>
        </w:trPr>
        <w:tc>
          <w:tcPr>
            <w:tcW w:w="1620" w:type="dxa"/>
            <w:tcBorders>
              <w:top w:val="single" w:sz="6" w:space="0" w:color="000000"/>
              <w:left w:val="single" w:sz="6" w:space="0" w:color="000000"/>
              <w:bottom w:val="single" w:sz="6" w:space="0" w:color="000000"/>
              <w:right w:val="single" w:sz="6" w:space="0" w:color="000000"/>
            </w:tcBorders>
            <w:shd w:val="clear" w:color="auto" w:fill="F3F3F3"/>
          </w:tcPr>
          <w:p w14:paraId="00B93312" w14:textId="77777777" w:rsidR="00A5347B" w:rsidRPr="000C4C3B" w:rsidRDefault="00A5347B" w:rsidP="00FA0F04">
            <w:pPr>
              <w:widowControl w:val="0"/>
              <w:spacing w:after="14" w:line="240" w:lineRule="atLeast"/>
              <w:rPr>
                <w:b/>
                <w:bCs/>
                <w:sz w:val="22"/>
                <w:szCs w:val="22"/>
              </w:rPr>
            </w:pPr>
            <w:r w:rsidRPr="000C4C3B">
              <w:rPr>
                <w:b/>
                <w:bCs/>
                <w:sz w:val="22"/>
                <w:szCs w:val="22"/>
              </w:rPr>
              <w:t>NESHAP Subpart</w:t>
            </w:r>
          </w:p>
          <w:p w14:paraId="5BE8FD33" w14:textId="77777777" w:rsidR="00A5347B" w:rsidRPr="000C4C3B" w:rsidRDefault="00A5347B" w:rsidP="00FA0F04">
            <w:pPr>
              <w:widowControl w:val="0"/>
              <w:spacing w:after="14" w:line="240" w:lineRule="atLeast"/>
              <w:rPr>
                <w:sz w:val="22"/>
                <w:szCs w:val="22"/>
              </w:rPr>
            </w:pPr>
            <w:r w:rsidRPr="000C4C3B">
              <w:rPr>
                <w:b/>
                <w:bCs/>
                <w:sz w:val="22"/>
                <w:szCs w:val="22"/>
              </w:rPr>
              <w:t>(40 CFR 61)</w:t>
            </w:r>
          </w:p>
        </w:tc>
        <w:tc>
          <w:tcPr>
            <w:tcW w:w="2700" w:type="dxa"/>
            <w:tcBorders>
              <w:top w:val="single" w:sz="6" w:space="0" w:color="000000"/>
              <w:left w:val="single" w:sz="6" w:space="0" w:color="000000"/>
              <w:bottom w:val="single" w:sz="6" w:space="0" w:color="000000"/>
              <w:right w:val="single" w:sz="6" w:space="0" w:color="000000"/>
            </w:tcBorders>
            <w:shd w:val="clear" w:color="auto" w:fill="F3F3F3"/>
          </w:tcPr>
          <w:p w14:paraId="14466832" w14:textId="77777777" w:rsidR="00A5347B" w:rsidRPr="000C4C3B" w:rsidRDefault="00A5347B" w:rsidP="00FA0F04">
            <w:pPr>
              <w:widowControl w:val="0"/>
              <w:spacing w:after="14" w:line="240" w:lineRule="atLeast"/>
              <w:jc w:val="center"/>
              <w:rPr>
                <w:b/>
                <w:bCs/>
                <w:sz w:val="22"/>
                <w:szCs w:val="22"/>
              </w:rPr>
            </w:pPr>
            <w:r w:rsidRPr="000C4C3B">
              <w:rPr>
                <w:b/>
                <w:bCs/>
                <w:sz w:val="22"/>
                <w:szCs w:val="22"/>
              </w:rPr>
              <w:t>Title</w:t>
            </w:r>
          </w:p>
        </w:tc>
        <w:tc>
          <w:tcPr>
            <w:tcW w:w="972" w:type="dxa"/>
            <w:tcBorders>
              <w:top w:val="single" w:sz="6" w:space="0" w:color="000000"/>
              <w:left w:val="single" w:sz="6" w:space="0" w:color="000000"/>
              <w:bottom w:val="single" w:sz="6" w:space="0" w:color="000000"/>
              <w:right w:val="single" w:sz="6" w:space="0" w:color="000000"/>
            </w:tcBorders>
            <w:shd w:val="clear" w:color="auto" w:fill="F3F3F3"/>
          </w:tcPr>
          <w:p w14:paraId="6C17FCDC" w14:textId="77777777" w:rsidR="00A5347B" w:rsidRPr="000C4C3B" w:rsidRDefault="00A5347B" w:rsidP="00FA0F04">
            <w:pPr>
              <w:widowControl w:val="0"/>
              <w:spacing w:line="240" w:lineRule="atLeast"/>
              <w:jc w:val="center"/>
              <w:rPr>
                <w:b/>
                <w:bCs/>
                <w:sz w:val="22"/>
                <w:szCs w:val="22"/>
              </w:rPr>
            </w:pPr>
            <w:r w:rsidRPr="000C4C3B">
              <w:rPr>
                <w:b/>
                <w:bCs/>
                <w:sz w:val="22"/>
                <w:szCs w:val="22"/>
              </w:rPr>
              <w:t>Applies</w:t>
            </w:r>
          </w:p>
          <w:p w14:paraId="6F4C74B0" w14:textId="77777777" w:rsidR="00A5347B" w:rsidRPr="000C4C3B" w:rsidRDefault="00A5347B" w:rsidP="00FA0F04">
            <w:pPr>
              <w:widowControl w:val="0"/>
              <w:spacing w:after="14" w:line="240" w:lineRule="atLeast"/>
              <w:jc w:val="center"/>
              <w:rPr>
                <w:b/>
                <w:bCs/>
                <w:sz w:val="22"/>
                <w:szCs w:val="22"/>
              </w:rPr>
            </w:pPr>
            <w:r w:rsidRPr="000C4C3B">
              <w:rPr>
                <w:b/>
                <w:bCs/>
                <w:sz w:val="22"/>
                <w:szCs w:val="22"/>
              </w:rPr>
              <w:t>(Y/N)</w:t>
            </w:r>
          </w:p>
        </w:tc>
        <w:tc>
          <w:tcPr>
            <w:tcW w:w="1098" w:type="dxa"/>
            <w:tcBorders>
              <w:top w:val="single" w:sz="6" w:space="0" w:color="000000"/>
              <w:left w:val="single" w:sz="6" w:space="0" w:color="000000"/>
              <w:bottom w:val="single" w:sz="6" w:space="0" w:color="000000"/>
              <w:right w:val="single" w:sz="6" w:space="0" w:color="000000"/>
            </w:tcBorders>
            <w:shd w:val="clear" w:color="auto" w:fill="F3F3F3"/>
          </w:tcPr>
          <w:p w14:paraId="63256C03" w14:textId="77777777" w:rsidR="00A5347B" w:rsidRPr="000C4C3B" w:rsidRDefault="00A5347B" w:rsidP="00FA0F04">
            <w:pPr>
              <w:widowControl w:val="0"/>
              <w:spacing w:after="14" w:line="240" w:lineRule="atLeast"/>
              <w:jc w:val="center"/>
              <w:rPr>
                <w:b/>
                <w:bCs/>
                <w:sz w:val="22"/>
                <w:szCs w:val="22"/>
              </w:rPr>
            </w:pPr>
            <w:r>
              <w:rPr>
                <w:b/>
                <w:bCs/>
                <w:sz w:val="22"/>
                <w:szCs w:val="22"/>
              </w:rPr>
              <w:t>Unit(s) or Facility</w:t>
            </w:r>
          </w:p>
        </w:tc>
        <w:tc>
          <w:tcPr>
            <w:tcW w:w="4500" w:type="dxa"/>
            <w:tcBorders>
              <w:top w:val="single" w:sz="6" w:space="0" w:color="000000"/>
              <w:left w:val="single" w:sz="6" w:space="0" w:color="000000"/>
              <w:bottom w:val="single" w:sz="6" w:space="0" w:color="000000"/>
              <w:right w:val="single" w:sz="6" w:space="0" w:color="000000"/>
            </w:tcBorders>
            <w:shd w:val="clear" w:color="auto" w:fill="F3F3F3"/>
          </w:tcPr>
          <w:p w14:paraId="2DAD9478" w14:textId="77777777" w:rsidR="00A5347B" w:rsidRPr="000C4C3B" w:rsidRDefault="00A5347B" w:rsidP="00FA0F04">
            <w:pPr>
              <w:widowControl w:val="0"/>
              <w:spacing w:after="14" w:line="240" w:lineRule="atLeast"/>
              <w:jc w:val="center"/>
              <w:rPr>
                <w:b/>
                <w:bCs/>
                <w:sz w:val="22"/>
                <w:szCs w:val="22"/>
              </w:rPr>
            </w:pPr>
            <w:r w:rsidRPr="000C4C3B">
              <w:rPr>
                <w:b/>
                <w:bCs/>
                <w:sz w:val="22"/>
                <w:szCs w:val="22"/>
              </w:rPr>
              <w:t>Comments</w:t>
            </w:r>
          </w:p>
        </w:tc>
      </w:tr>
      <w:tr w:rsidR="00A5347B" w:rsidRPr="000C4C3B" w14:paraId="6CC908A8" w14:textId="77777777" w:rsidTr="00A5347B">
        <w:tc>
          <w:tcPr>
            <w:tcW w:w="1620" w:type="dxa"/>
            <w:tcBorders>
              <w:top w:val="single" w:sz="6" w:space="0" w:color="000000"/>
              <w:left w:val="single" w:sz="6" w:space="0" w:color="000000"/>
              <w:bottom w:val="single" w:sz="6" w:space="0" w:color="000000"/>
              <w:right w:val="single" w:sz="6" w:space="0" w:color="000000"/>
            </w:tcBorders>
          </w:tcPr>
          <w:p w14:paraId="771A78E6" w14:textId="77777777" w:rsidR="00A5347B" w:rsidRPr="000C4C3B" w:rsidRDefault="00A5347B" w:rsidP="00FA0F04">
            <w:pPr>
              <w:widowControl w:val="0"/>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240" w:lineRule="atLeast"/>
              <w:jc w:val="center"/>
              <w:rPr>
                <w:sz w:val="22"/>
                <w:szCs w:val="22"/>
              </w:rPr>
            </w:pPr>
            <w:r w:rsidRPr="000C4C3B">
              <w:rPr>
                <w:sz w:val="22"/>
                <w:szCs w:val="22"/>
              </w:rPr>
              <w:t>A</w:t>
            </w:r>
          </w:p>
        </w:tc>
        <w:tc>
          <w:tcPr>
            <w:tcW w:w="2700" w:type="dxa"/>
            <w:tcBorders>
              <w:top w:val="single" w:sz="6" w:space="0" w:color="000000"/>
              <w:left w:val="single" w:sz="6" w:space="0" w:color="000000"/>
              <w:bottom w:val="single" w:sz="6" w:space="0" w:color="000000"/>
              <w:right w:val="single" w:sz="6" w:space="0" w:color="000000"/>
            </w:tcBorders>
          </w:tcPr>
          <w:p w14:paraId="4D9D178D" w14:textId="77777777" w:rsidR="00A5347B" w:rsidRPr="000C4C3B" w:rsidRDefault="00A5347B" w:rsidP="00FA0F04">
            <w:pPr>
              <w:widowControl w:val="0"/>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240" w:lineRule="atLeast"/>
              <w:rPr>
                <w:sz w:val="22"/>
                <w:szCs w:val="22"/>
              </w:rPr>
            </w:pPr>
            <w:r w:rsidRPr="000C4C3B">
              <w:rPr>
                <w:sz w:val="22"/>
                <w:szCs w:val="22"/>
              </w:rPr>
              <w:t>General Provisions</w:t>
            </w:r>
          </w:p>
        </w:tc>
        <w:tc>
          <w:tcPr>
            <w:tcW w:w="972" w:type="dxa"/>
            <w:tcBorders>
              <w:top w:val="single" w:sz="6" w:space="0" w:color="000000"/>
              <w:left w:val="single" w:sz="6" w:space="0" w:color="000000"/>
              <w:bottom w:val="single" w:sz="6" w:space="0" w:color="000000"/>
              <w:right w:val="single" w:sz="6" w:space="0" w:color="000000"/>
            </w:tcBorders>
          </w:tcPr>
          <w:p w14:paraId="1E9D49C7" w14:textId="77777777" w:rsidR="00A5347B" w:rsidRPr="000C4C3B" w:rsidRDefault="00E704AB" w:rsidP="00FA0F04">
            <w:pPr>
              <w:widowControl w:val="0"/>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240" w:lineRule="atLeast"/>
              <w:jc w:val="center"/>
              <w:rPr>
                <w:sz w:val="22"/>
                <w:szCs w:val="22"/>
              </w:rPr>
            </w:pPr>
            <w:r>
              <w:rPr>
                <w:sz w:val="22"/>
                <w:szCs w:val="22"/>
              </w:rPr>
              <w:t>N</w:t>
            </w:r>
          </w:p>
        </w:tc>
        <w:tc>
          <w:tcPr>
            <w:tcW w:w="1098" w:type="dxa"/>
            <w:tcBorders>
              <w:top w:val="single" w:sz="6" w:space="0" w:color="000000"/>
              <w:left w:val="single" w:sz="6" w:space="0" w:color="000000"/>
              <w:bottom w:val="single" w:sz="6" w:space="0" w:color="000000"/>
              <w:right w:val="single" w:sz="6" w:space="0" w:color="000000"/>
            </w:tcBorders>
          </w:tcPr>
          <w:p w14:paraId="13240AB2" w14:textId="77777777" w:rsidR="00A5347B" w:rsidRPr="000C4C3B" w:rsidRDefault="00A5347B" w:rsidP="00FA0F04">
            <w:pPr>
              <w:widowControl w:val="0"/>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240" w:lineRule="atLeast"/>
              <w:rPr>
                <w:sz w:val="22"/>
                <w:szCs w:val="22"/>
              </w:rPr>
            </w:pPr>
          </w:p>
        </w:tc>
        <w:tc>
          <w:tcPr>
            <w:tcW w:w="4500" w:type="dxa"/>
            <w:tcBorders>
              <w:top w:val="single" w:sz="6" w:space="0" w:color="000000"/>
              <w:left w:val="single" w:sz="6" w:space="0" w:color="000000"/>
              <w:bottom w:val="single" w:sz="6" w:space="0" w:color="000000"/>
              <w:right w:val="single" w:sz="6" w:space="0" w:color="000000"/>
            </w:tcBorders>
          </w:tcPr>
          <w:p w14:paraId="68BB195E" w14:textId="77777777" w:rsidR="00A5347B" w:rsidRPr="000C4C3B" w:rsidRDefault="00A5347B" w:rsidP="00E704AB">
            <w:pPr>
              <w:widowControl w:val="0"/>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240" w:lineRule="atLeast"/>
              <w:rPr>
                <w:sz w:val="22"/>
                <w:szCs w:val="22"/>
              </w:rPr>
            </w:pPr>
            <w:r w:rsidRPr="000C4C3B">
              <w:rPr>
                <w:sz w:val="22"/>
                <w:szCs w:val="22"/>
              </w:rPr>
              <w:t>Applies if any other subpart applies and</w:t>
            </w:r>
            <w:r w:rsidR="00E704AB">
              <w:rPr>
                <w:sz w:val="22"/>
                <w:szCs w:val="22"/>
              </w:rPr>
              <w:t xml:space="preserve"> no subparts</w:t>
            </w:r>
            <w:r w:rsidRPr="000C4C3B">
              <w:rPr>
                <w:sz w:val="22"/>
                <w:szCs w:val="22"/>
              </w:rPr>
              <w:t xml:space="preserve"> appl</w:t>
            </w:r>
            <w:r w:rsidR="00E704AB">
              <w:rPr>
                <w:sz w:val="22"/>
                <w:szCs w:val="22"/>
              </w:rPr>
              <w:t>y.</w:t>
            </w:r>
          </w:p>
        </w:tc>
      </w:tr>
    </w:tbl>
    <w:p w14:paraId="775E093E" w14:textId="77777777" w:rsidR="00BF43B7" w:rsidRDefault="00BF43B7" w:rsidP="00FA0F04">
      <w:pPr>
        <w:widowControl w:val="0"/>
        <w:rPr>
          <w:sz w:val="22"/>
          <w:szCs w:val="22"/>
        </w:rPr>
      </w:pPr>
    </w:p>
    <w:p w14:paraId="6D95853C" w14:textId="77777777" w:rsidR="00A5347B" w:rsidRPr="000C4C3B" w:rsidRDefault="00A5347B" w:rsidP="00FA0F04">
      <w:pPr>
        <w:widowControl w:val="0"/>
        <w:rPr>
          <w:sz w:val="22"/>
          <w:szCs w:val="22"/>
        </w:rPr>
      </w:pPr>
    </w:p>
    <w:tbl>
      <w:tblPr>
        <w:tblW w:w="10890" w:type="dxa"/>
        <w:tblInd w:w="-558" w:type="dxa"/>
        <w:tblLayout w:type="fixed"/>
        <w:tblCellMar>
          <w:left w:w="72" w:type="dxa"/>
          <w:right w:w="72" w:type="dxa"/>
        </w:tblCellMar>
        <w:tblLook w:val="0000" w:firstRow="0" w:lastRow="0" w:firstColumn="0" w:lastColumn="0" w:noHBand="0" w:noVBand="0"/>
      </w:tblPr>
      <w:tblGrid>
        <w:gridCol w:w="1710"/>
        <w:gridCol w:w="2700"/>
        <w:gridCol w:w="972"/>
        <w:gridCol w:w="1098"/>
        <w:gridCol w:w="4410"/>
      </w:tblGrid>
      <w:tr w:rsidR="00A5347B" w:rsidRPr="000C4C3B" w14:paraId="7B5FF0C8" w14:textId="77777777" w:rsidTr="00A5347B">
        <w:trPr>
          <w:cantSplit/>
          <w:tblHeader/>
        </w:trPr>
        <w:tc>
          <w:tcPr>
            <w:tcW w:w="1710" w:type="dxa"/>
            <w:tcBorders>
              <w:top w:val="single" w:sz="6" w:space="0" w:color="000000"/>
              <w:left w:val="single" w:sz="6" w:space="0" w:color="000000"/>
              <w:bottom w:val="single" w:sz="6" w:space="0" w:color="000000"/>
              <w:right w:val="single" w:sz="6" w:space="0" w:color="000000"/>
            </w:tcBorders>
            <w:shd w:val="clear" w:color="auto" w:fill="F3F3F3"/>
          </w:tcPr>
          <w:p w14:paraId="1C25366D" w14:textId="77777777" w:rsidR="00A5347B" w:rsidRPr="000C4C3B" w:rsidRDefault="00A5347B" w:rsidP="00FA0F04">
            <w:pPr>
              <w:widowControl w:val="0"/>
              <w:spacing w:after="14" w:line="240" w:lineRule="atLeast"/>
              <w:rPr>
                <w:b/>
                <w:bCs/>
                <w:sz w:val="22"/>
                <w:szCs w:val="22"/>
              </w:rPr>
            </w:pPr>
            <w:r>
              <w:rPr>
                <w:b/>
                <w:bCs/>
                <w:sz w:val="22"/>
                <w:szCs w:val="22"/>
              </w:rPr>
              <w:t>MACT</w:t>
            </w:r>
            <w:r w:rsidRPr="000C4C3B">
              <w:rPr>
                <w:b/>
                <w:bCs/>
                <w:sz w:val="22"/>
                <w:szCs w:val="22"/>
              </w:rPr>
              <w:t xml:space="preserve"> Subpart</w:t>
            </w:r>
          </w:p>
          <w:p w14:paraId="5AA5AF2A" w14:textId="77777777" w:rsidR="00A5347B" w:rsidRPr="000C4C3B" w:rsidRDefault="00A5347B" w:rsidP="00FA0F04">
            <w:pPr>
              <w:widowControl w:val="0"/>
              <w:spacing w:after="14" w:line="240" w:lineRule="atLeast"/>
              <w:rPr>
                <w:sz w:val="22"/>
                <w:szCs w:val="22"/>
              </w:rPr>
            </w:pPr>
            <w:r w:rsidRPr="000C4C3B">
              <w:rPr>
                <w:b/>
                <w:bCs/>
                <w:sz w:val="22"/>
                <w:szCs w:val="22"/>
              </w:rPr>
              <w:t>(40 CFR 63)</w:t>
            </w:r>
          </w:p>
        </w:tc>
        <w:tc>
          <w:tcPr>
            <w:tcW w:w="2700" w:type="dxa"/>
            <w:tcBorders>
              <w:top w:val="single" w:sz="6" w:space="0" w:color="000000"/>
              <w:left w:val="single" w:sz="6" w:space="0" w:color="000000"/>
              <w:bottom w:val="single" w:sz="6" w:space="0" w:color="000000"/>
              <w:right w:val="single" w:sz="6" w:space="0" w:color="000000"/>
            </w:tcBorders>
            <w:shd w:val="clear" w:color="auto" w:fill="F3F3F3"/>
          </w:tcPr>
          <w:p w14:paraId="213DC79C" w14:textId="77777777" w:rsidR="00A5347B" w:rsidRPr="000C4C3B" w:rsidRDefault="00A5347B" w:rsidP="00FA0F04">
            <w:pPr>
              <w:widowControl w:val="0"/>
              <w:spacing w:after="14" w:line="240" w:lineRule="atLeast"/>
              <w:jc w:val="center"/>
              <w:rPr>
                <w:b/>
                <w:bCs/>
                <w:sz w:val="22"/>
                <w:szCs w:val="22"/>
              </w:rPr>
            </w:pPr>
            <w:r w:rsidRPr="000C4C3B">
              <w:rPr>
                <w:b/>
                <w:bCs/>
                <w:sz w:val="22"/>
                <w:szCs w:val="22"/>
              </w:rPr>
              <w:t>Title</w:t>
            </w:r>
          </w:p>
        </w:tc>
        <w:tc>
          <w:tcPr>
            <w:tcW w:w="972" w:type="dxa"/>
            <w:tcBorders>
              <w:top w:val="single" w:sz="6" w:space="0" w:color="000000"/>
              <w:left w:val="single" w:sz="6" w:space="0" w:color="000000"/>
              <w:bottom w:val="single" w:sz="6" w:space="0" w:color="000000"/>
              <w:right w:val="single" w:sz="6" w:space="0" w:color="000000"/>
            </w:tcBorders>
            <w:shd w:val="clear" w:color="auto" w:fill="F3F3F3"/>
          </w:tcPr>
          <w:p w14:paraId="5A1F6DFB" w14:textId="77777777" w:rsidR="00A5347B" w:rsidRPr="000C4C3B" w:rsidRDefault="00A5347B" w:rsidP="00FA0F04">
            <w:pPr>
              <w:widowControl w:val="0"/>
              <w:spacing w:line="240" w:lineRule="atLeast"/>
              <w:jc w:val="center"/>
              <w:rPr>
                <w:b/>
                <w:bCs/>
                <w:sz w:val="22"/>
                <w:szCs w:val="22"/>
              </w:rPr>
            </w:pPr>
            <w:r w:rsidRPr="000C4C3B">
              <w:rPr>
                <w:b/>
                <w:bCs/>
                <w:sz w:val="22"/>
                <w:szCs w:val="22"/>
              </w:rPr>
              <w:t>Applies</w:t>
            </w:r>
          </w:p>
          <w:p w14:paraId="02CB2CE0" w14:textId="77777777" w:rsidR="00A5347B" w:rsidRPr="000C4C3B" w:rsidRDefault="00A5347B" w:rsidP="00FA0F04">
            <w:pPr>
              <w:widowControl w:val="0"/>
              <w:spacing w:after="14" w:line="240" w:lineRule="atLeast"/>
              <w:jc w:val="center"/>
              <w:rPr>
                <w:b/>
                <w:bCs/>
                <w:sz w:val="22"/>
                <w:szCs w:val="22"/>
              </w:rPr>
            </w:pPr>
            <w:r w:rsidRPr="000C4C3B">
              <w:rPr>
                <w:b/>
                <w:bCs/>
                <w:sz w:val="22"/>
                <w:szCs w:val="22"/>
              </w:rPr>
              <w:t>(Y/N)</w:t>
            </w:r>
          </w:p>
        </w:tc>
        <w:tc>
          <w:tcPr>
            <w:tcW w:w="1098" w:type="dxa"/>
            <w:tcBorders>
              <w:top w:val="single" w:sz="6" w:space="0" w:color="000000"/>
              <w:left w:val="single" w:sz="6" w:space="0" w:color="000000"/>
              <w:bottom w:val="single" w:sz="6" w:space="0" w:color="000000"/>
              <w:right w:val="single" w:sz="6" w:space="0" w:color="000000"/>
            </w:tcBorders>
            <w:shd w:val="clear" w:color="auto" w:fill="F3F3F3"/>
          </w:tcPr>
          <w:p w14:paraId="47853610" w14:textId="77777777" w:rsidR="00A5347B" w:rsidRPr="000C4C3B" w:rsidRDefault="00A5347B" w:rsidP="00FA0F04">
            <w:pPr>
              <w:widowControl w:val="0"/>
              <w:spacing w:after="14" w:line="240" w:lineRule="atLeast"/>
              <w:jc w:val="center"/>
              <w:rPr>
                <w:b/>
                <w:bCs/>
                <w:sz w:val="22"/>
                <w:szCs w:val="22"/>
              </w:rPr>
            </w:pPr>
            <w:r>
              <w:rPr>
                <w:b/>
                <w:bCs/>
                <w:sz w:val="22"/>
                <w:szCs w:val="22"/>
              </w:rPr>
              <w:t>Unit(s) or Facility</w:t>
            </w:r>
          </w:p>
        </w:tc>
        <w:tc>
          <w:tcPr>
            <w:tcW w:w="4410" w:type="dxa"/>
            <w:tcBorders>
              <w:top w:val="single" w:sz="6" w:space="0" w:color="000000"/>
              <w:left w:val="single" w:sz="6" w:space="0" w:color="000000"/>
              <w:bottom w:val="single" w:sz="6" w:space="0" w:color="000000"/>
              <w:right w:val="single" w:sz="6" w:space="0" w:color="000000"/>
            </w:tcBorders>
            <w:shd w:val="clear" w:color="auto" w:fill="F3F3F3"/>
          </w:tcPr>
          <w:p w14:paraId="5C77CF7E" w14:textId="77777777" w:rsidR="00A5347B" w:rsidRPr="000C4C3B" w:rsidRDefault="00A5347B" w:rsidP="00FA0F04">
            <w:pPr>
              <w:widowControl w:val="0"/>
              <w:spacing w:after="14" w:line="240" w:lineRule="atLeast"/>
              <w:jc w:val="center"/>
              <w:rPr>
                <w:b/>
                <w:bCs/>
                <w:sz w:val="22"/>
                <w:szCs w:val="22"/>
              </w:rPr>
            </w:pPr>
            <w:r w:rsidRPr="000C4C3B">
              <w:rPr>
                <w:b/>
                <w:bCs/>
                <w:sz w:val="22"/>
                <w:szCs w:val="22"/>
              </w:rPr>
              <w:t>Comments</w:t>
            </w:r>
          </w:p>
        </w:tc>
      </w:tr>
      <w:tr w:rsidR="00A5347B" w:rsidRPr="000C4C3B" w14:paraId="359C816D" w14:textId="77777777" w:rsidTr="00A5347B">
        <w:tc>
          <w:tcPr>
            <w:tcW w:w="1710" w:type="dxa"/>
            <w:tcBorders>
              <w:top w:val="single" w:sz="6" w:space="0" w:color="000000"/>
              <w:left w:val="single" w:sz="6" w:space="0" w:color="000000"/>
              <w:bottom w:val="single" w:sz="6" w:space="0" w:color="000000"/>
              <w:right w:val="single" w:sz="6" w:space="0" w:color="000000"/>
            </w:tcBorders>
          </w:tcPr>
          <w:p w14:paraId="2AA52AF5" w14:textId="77777777" w:rsidR="00A5347B" w:rsidRPr="000C4C3B" w:rsidRDefault="00A5347B" w:rsidP="00FA0F04">
            <w:pPr>
              <w:widowControl w:val="0"/>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240" w:lineRule="atLeast"/>
              <w:jc w:val="center"/>
              <w:rPr>
                <w:sz w:val="22"/>
                <w:szCs w:val="22"/>
              </w:rPr>
            </w:pPr>
            <w:r w:rsidRPr="000C4C3B">
              <w:rPr>
                <w:sz w:val="22"/>
                <w:szCs w:val="22"/>
              </w:rPr>
              <w:t>A</w:t>
            </w:r>
          </w:p>
        </w:tc>
        <w:tc>
          <w:tcPr>
            <w:tcW w:w="2700" w:type="dxa"/>
            <w:tcBorders>
              <w:top w:val="single" w:sz="6" w:space="0" w:color="000000"/>
              <w:left w:val="single" w:sz="6" w:space="0" w:color="000000"/>
              <w:bottom w:val="single" w:sz="6" w:space="0" w:color="000000"/>
              <w:right w:val="single" w:sz="6" w:space="0" w:color="000000"/>
            </w:tcBorders>
          </w:tcPr>
          <w:p w14:paraId="1D6DCE0D" w14:textId="77777777" w:rsidR="00A5347B" w:rsidRPr="000C4C3B" w:rsidRDefault="00A5347B" w:rsidP="00FA0F04">
            <w:pPr>
              <w:widowControl w:val="0"/>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240" w:lineRule="atLeast"/>
              <w:rPr>
                <w:sz w:val="22"/>
                <w:szCs w:val="22"/>
              </w:rPr>
            </w:pPr>
            <w:r w:rsidRPr="000C4C3B">
              <w:rPr>
                <w:sz w:val="22"/>
                <w:szCs w:val="22"/>
              </w:rPr>
              <w:t>General Provisions</w:t>
            </w:r>
          </w:p>
        </w:tc>
        <w:tc>
          <w:tcPr>
            <w:tcW w:w="972" w:type="dxa"/>
            <w:tcBorders>
              <w:top w:val="single" w:sz="6" w:space="0" w:color="000000"/>
              <w:left w:val="single" w:sz="6" w:space="0" w:color="000000"/>
              <w:bottom w:val="single" w:sz="6" w:space="0" w:color="000000"/>
              <w:right w:val="single" w:sz="6" w:space="0" w:color="000000"/>
            </w:tcBorders>
          </w:tcPr>
          <w:p w14:paraId="1886826C" w14:textId="77777777" w:rsidR="00A5347B" w:rsidRPr="000C4C3B" w:rsidRDefault="00A5347B" w:rsidP="00FA0F04">
            <w:pPr>
              <w:widowControl w:val="0"/>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240" w:lineRule="atLeast"/>
              <w:jc w:val="center"/>
              <w:rPr>
                <w:sz w:val="22"/>
                <w:szCs w:val="22"/>
              </w:rPr>
            </w:pPr>
            <w:r>
              <w:rPr>
                <w:sz w:val="22"/>
                <w:szCs w:val="22"/>
              </w:rPr>
              <w:t>Yes</w:t>
            </w:r>
          </w:p>
        </w:tc>
        <w:tc>
          <w:tcPr>
            <w:tcW w:w="1098" w:type="dxa"/>
            <w:tcBorders>
              <w:top w:val="single" w:sz="6" w:space="0" w:color="000000"/>
              <w:left w:val="single" w:sz="6" w:space="0" w:color="000000"/>
              <w:bottom w:val="single" w:sz="6" w:space="0" w:color="000000"/>
              <w:right w:val="single" w:sz="6" w:space="0" w:color="000000"/>
            </w:tcBorders>
          </w:tcPr>
          <w:p w14:paraId="7B461776" w14:textId="77777777" w:rsidR="00A5347B" w:rsidRPr="000C4C3B" w:rsidRDefault="00E704AB" w:rsidP="00FA0F04">
            <w:pPr>
              <w:widowControl w:val="0"/>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240" w:lineRule="atLeast"/>
              <w:rPr>
                <w:sz w:val="22"/>
                <w:szCs w:val="22"/>
              </w:rPr>
            </w:pPr>
            <w:r>
              <w:rPr>
                <w:sz w:val="22"/>
                <w:szCs w:val="22"/>
              </w:rPr>
              <w:t>G-1 &amp;  FP-1</w:t>
            </w:r>
          </w:p>
        </w:tc>
        <w:tc>
          <w:tcPr>
            <w:tcW w:w="4410" w:type="dxa"/>
            <w:tcBorders>
              <w:top w:val="single" w:sz="6" w:space="0" w:color="000000"/>
              <w:left w:val="single" w:sz="6" w:space="0" w:color="000000"/>
              <w:bottom w:val="single" w:sz="6" w:space="0" w:color="000000"/>
              <w:right w:val="single" w:sz="6" w:space="0" w:color="000000"/>
            </w:tcBorders>
          </w:tcPr>
          <w:p w14:paraId="4AFF0CD7" w14:textId="4ECD2309" w:rsidR="00A5347B" w:rsidRPr="00E704AB" w:rsidRDefault="00A5347B" w:rsidP="0067536F">
            <w:pPr>
              <w:widowControl w:val="0"/>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240" w:lineRule="atLeast"/>
              <w:rPr>
                <w:sz w:val="22"/>
                <w:szCs w:val="22"/>
              </w:rPr>
            </w:pPr>
            <w:r w:rsidRPr="00E704AB">
              <w:rPr>
                <w:sz w:val="22"/>
                <w:szCs w:val="22"/>
              </w:rPr>
              <w:t xml:space="preserve">Applies if any other subpart applies and </w:t>
            </w:r>
            <w:r w:rsidR="00E704AB" w:rsidRPr="00E704AB">
              <w:rPr>
                <w:sz w:val="22"/>
                <w:szCs w:val="22"/>
              </w:rPr>
              <w:t>ZZZZ</w:t>
            </w:r>
            <w:r w:rsidRPr="00E704AB">
              <w:rPr>
                <w:sz w:val="22"/>
                <w:szCs w:val="22"/>
              </w:rPr>
              <w:t xml:space="preserve"> </w:t>
            </w:r>
            <w:r w:rsidR="0067536F">
              <w:rPr>
                <w:sz w:val="22"/>
                <w:szCs w:val="22"/>
              </w:rPr>
              <w:t xml:space="preserve">and CCCCCC </w:t>
            </w:r>
            <w:r w:rsidRPr="00E704AB">
              <w:rPr>
                <w:sz w:val="22"/>
                <w:szCs w:val="22"/>
              </w:rPr>
              <w:t>appl</w:t>
            </w:r>
            <w:r w:rsidR="0067536F">
              <w:rPr>
                <w:sz w:val="22"/>
                <w:szCs w:val="22"/>
              </w:rPr>
              <w:t>y</w:t>
            </w:r>
          </w:p>
        </w:tc>
      </w:tr>
      <w:tr w:rsidR="00A5347B" w:rsidRPr="000C4C3B" w14:paraId="4957B3ED" w14:textId="77777777" w:rsidTr="00A5347B">
        <w:tc>
          <w:tcPr>
            <w:tcW w:w="1710" w:type="dxa"/>
            <w:tcBorders>
              <w:top w:val="single" w:sz="6" w:space="0" w:color="000000"/>
              <w:left w:val="single" w:sz="6" w:space="0" w:color="000000"/>
              <w:bottom w:val="single" w:sz="6" w:space="0" w:color="000000"/>
              <w:right w:val="single" w:sz="6" w:space="0" w:color="000000"/>
            </w:tcBorders>
          </w:tcPr>
          <w:p w14:paraId="501E0CF6" w14:textId="77777777" w:rsidR="00A5347B" w:rsidRPr="000C4C3B" w:rsidRDefault="00A5347B" w:rsidP="00FA0F04">
            <w:pPr>
              <w:widowControl w:val="0"/>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240" w:lineRule="atLeast"/>
              <w:rPr>
                <w:sz w:val="22"/>
                <w:szCs w:val="22"/>
              </w:rPr>
            </w:pPr>
            <w:r w:rsidRPr="000C4C3B">
              <w:rPr>
                <w:sz w:val="22"/>
                <w:szCs w:val="22"/>
              </w:rPr>
              <w:t>40 CFR 63 Subpart ZZZZ</w:t>
            </w:r>
            <w:r>
              <w:rPr>
                <w:sz w:val="22"/>
                <w:szCs w:val="22"/>
              </w:rPr>
              <w:t xml:space="preserve"> (Quad Z)</w:t>
            </w:r>
          </w:p>
        </w:tc>
        <w:tc>
          <w:tcPr>
            <w:tcW w:w="2700" w:type="dxa"/>
            <w:tcBorders>
              <w:top w:val="single" w:sz="6" w:space="0" w:color="000000"/>
              <w:left w:val="single" w:sz="6" w:space="0" w:color="000000"/>
              <w:bottom w:val="single" w:sz="6" w:space="0" w:color="000000"/>
              <w:right w:val="single" w:sz="6" w:space="0" w:color="000000"/>
            </w:tcBorders>
          </w:tcPr>
          <w:p w14:paraId="2BE41575" w14:textId="77777777" w:rsidR="00A5347B" w:rsidRPr="00FA337B" w:rsidRDefault="00A5347B" w:rsidP="00FA0F04">
            <w:pPr>
              <w:widowControl w:val="0"/>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240" w:lineRule="atLeast"/>
              <w:rPr>
                <w:sz w:val="22"/>
                <w:szCs w:val="22"/>
              </w:rPr>
            </w:pPr>
            <w:r w:rsidRPr="00FA337B">
              <w:rPr>
                <w:sz w:val="22"/>
                <w:szCs w:val="22"/>
              </w:rPr>
              <w:t>National Emissions Standards for Hazardous Air Pollutants for Stationary Reciprocating Internal Combustion Engines (RICE MACT)</w:t>
            </w:r>
          </w:p>
        </w:tc>
        <w:tc>
          <w:tcPr>
            <w:tcW w:w="972" w:type="dxa"/>
            <w:tcBorders>
              <w:top w:val="single" w:sz="6" w:space="0" w:color="000000"/>
              <w:left w:val="single" w:sz="6" w:space="0" w:color="000000"/>
              <w:bottom w:val="single" w:sz="6" w:space="0" w:color="000000"/>
              <w:right w:val="single" w:sz="6" w:space="0" w:color="000000"/>
            </w:tcBorders>
          </w:tcPr>
          <w:p w14:paraId="6817E60B" w14:textId="77777777" w:rsidR="00A5347B" w:rsidRPr="00FA337B" w:rsidRDefault="00E704AB" w:rsidP="00FA0F04">
            <w:pPr>
              <w:widowControl w:val="0"/>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240" w:lineRule="atLeast"/>
              <w:jc w:val="center"/>
              <w:rPr>
                <w:sz w:val="22"/>
                <w:szCs w:val="22"/>
              </w:rPr>
            </w:pPr>
            <w:r>
              <w:rPr>
                <w:sz w:val="22"/>
                <w:szCs w:val="22"/>
              </w:rPr>
              <w:t>Y</w:t>
            </w:r>
          </w:p>
        </w:tc>
        <w:tc>
          <w:tcPr>
            <w:tcW w:w="1098" w:type="dxa"/>
            <w:tcBorders>
              <w:top w:val="single" w:sz="6" w:space="0" w:color="000000"/>
              <w:left w:val="single" w:sz="6" w:space="0" w:color="000000"/>
              <w:bottom w:val="single" w:sz="6" w:space="0" w:color="000000"/>
              <w:right w:val="single" w:sz="6" w:space="0" w:color="000000"/>
            </w:tcBorders>
          </w:tcPr>
          <w:p w14:paraId="77E12B34" w14:textId="77777777" w:rsidR="00A5347B" w:rsidRPr="00FA337B" w:rsidRDefault="00E704AB" w:rsidP="00FA0F04">
            <w:pPr>
              <w:pStyle w:val="BodyText2"/>
              <w:widowControl w:val="0"/>
              <w:spacing w:line="240" w:lineRule="atLeast"/>
              <w:rPr>
                <w:sz w:val="22"/>
                <w:szCs w:val="22"/>
              </w:rPr>
            </w:pPr>
            <w:r>
              <w:rPr>
                <w:sz w:val="22"/>
                <w:szCs w:val="22"/>
              </w:rPr>
              <w:t>G-1 &amp;  FP-1</w:t>
            </w:r>
          </w:p>
        </w:tc>
        <w:tc>
          <w:tcPr>
            <w:tcW w:w="4410" w:type="dxa"/>
            <w:tcBorders>
              <w:top w:val="single" w:sz="6" w:space="0" w:color="000000"/>
              <w:left w:val="single" w:sz="6" w:space="0" w:color="000000"/>
              <w:bottom w:val="single" w:sz="6" w:space="0" w:color="000000"/>
              <w:right w:val="single" w:sz="6" w:space="0" w:color="000000"/>
            </w:tcBorders>
          </w:tcPr>
          <w:p w14:paraId="144369B9" w14:textId="77777777" w:rsidR="00E704AB" w:rsidRPr="00E704AB" w:rsidRDefault="00E704AB" w:rsidP="00E704AB">
            <w:pPr>
              <w:autoSpaceDE w:val="0"/>
              <w:autoSpaceDN w:val="0"/>
              <w:adjustRightInd w:val="0"/>
              <w:rPr>
                <w:sz w:val="22"/>
                <w:szCs w:val="22"/>
              </w:rPr>
            </w:pPr>
            <w:r w:rsidRPr="00E704AB">
              <w:rPr>
                <w:sz w:val="22"/>
                <w:szCs w:val="22"/>
              </w:rPr>
              <w:t>Hobbs Diesel Standby Generator (G-1) is a new</w:t>
            </w:r>
          </w:p>
          <w:p w14:paraId="793B8D2F" w14:textId="2EC5F26D" w:rsidR="00E704AB" w:rsidRPr="00E704AB" w:rsidRDefault="00E704AB" w:rsidP="00E704AB">
            <w:pPr>
              <w:autoSpaceDE w:val="0"/>
              <w:autoSpaceDN w:val="0"/>
              <w:adjustRightInd w:val="0"/>
              <w:rPr>
                <w:sz w:val="22"/>
                <w:szCs w:val="22"/>
              </w:rPr>
            </w:pPr>
            <w:r w:rsidRPr="00E704AB">
              <w:rPr>
                <w:sz w:val="22"/>
                <w:szCs w:val="22"/>
              </w:rPr>
              <w:t>(emergency) stationary RIC</w:t>
            </w:r>
            <w:r w:rsidR="0067536F">
              <w:rPr>
                <w:sz w:val="22"/>
                <w:szCs w:val="22"/>
              </w:rPr>
              <w:t>E</w:t>
            </w:r>
            <w:r w:rsidRPr="00E704AB">
              <w:rPr>
                <w:sz w:val="22"/>
                <w:szCs w:val="22"/>
              </w:rPr>
              <w:t xml:space="preserve"> at an area source of</w:t>
            </w:r>
          </w:p>
          <w:p w14:paraId="7CA44001" w14:textId="77777777" w:rsidR="00E704AB" w:rsidRPr="00E704AB" w:rsidRDefault="00E704AB" w:rsidP="00E704AB">
            <w:pPr>
              <w:autoSpaceDE w:val="0"/>
              <w:autoSpaceDN w:val="0"/>
              <w:adjustRightInd w:val="0"/>
              <w:rPr>
                <w:sz w:val="22"/>
                <w:szCs w:val="22"/>
              </w:rPr>
            </w:pPr>
            <w:r w:rsidRPr="00E704AB">
              <w:rPr>
                <w:sz w:val="22"/>
                <w:szCs w:val="22"/>
              </w:rPr>
              <w:t>HAPs. Per §63.6590(c)(1), G-1 must meet the</w:t>
            </w:r>
          </w:p>
          <w:p w14:paraId="443850FC" w14:textId="77777777" w:rsidR="00E704AB" w:rsidRPr="00E704AB" w:rsidRDefault="00E704AB" w:rsidP="00E704AB">
            <w:pPr>
              <w:autoSpaceDE w:val="0"/>
              <w:autoSpaceDN w:val="0"/>
              <w:adjustRightInd w:val="0"/>
              <w:rPr>
                <w:sz w:val="22"/>
                <w:szCs w:val="22"/>
              </w:rPr>
            </w:pPr>
            <w:r w:rsidRPr="00E704AB">
              <w:rPr>
                <w:sz w:val="22"/>
                <w:szCs w:val="22"/>
              </w:rPr>
              <w:t>requirements of MACT ZZZZ by meeting the</w:t>
            </w:r>
          </w:p>
          <w:p w14:paraId="3F87BFAB" w14:textId="77777777" w:rsidR="00E704AB" w:rsidRPr="00E704AB" w:rsidRDefault="00E704AB" w:rsidP="00E704AB">
            <w:pPr>
              <w:autoSpaceDE w:val="0"/>
              <w:autoSpaceDN w:val="0"/>
              <w:adjustRightInd w:val="0"/>
              <w:rPr>
                <w:sz w:val="22"/>
                <w:szCs w:val="22"/>
              </w:rPr>
            </w:pPr>
            <w:r w:rsidRPr="00E704AB">
              <w:rPr>
                <w:sz w:val="22"/>
                <w:szCs w:val="22"/>
              </w:rPr>
              <w:t>requirements of NSPS IIII.</w:t>
            </w:r>
            <w:r>
              <w:rPr>
                <w:sz w:val="22"/>
                <w:szCs w:val="22"/>
              </w:rPr>
              <w:t xml:space="preserve">  </w:t>
            </w:r>
            <w:r w:rsidRPr="00E704AB">
              <w:rPr>
                <w:sz w:val="22"/>
                <w:szCs w:val="22"/>
              </w:rPr>
              <w:t>Hobbs Diesel Fire Water Pump (FP-1) is an existing</w:t>
            </w:r>
            <w:r>
              <w:rPr>
                <w:sz w:val="22"/>
                <w:szCs w:val="22"/>
              </w:rPr>
              <w:t xml:space="preserve"> </w:t>
            </w:r>
            <w:r w:rsidRPr="00E704AB">
              <w:rPr>
                <w:sz w:val="22"/>
                <w:szCs w:val="22"/>
              </w:rPr>
              <w:t>emergency RICE at an area source of HAPs and must</w:t>
            </w:r>
          </w:p>
          <w:p w14:paraId="55D0E115" w14:textId="77777777" w:rsidR="00A5347B" w:rsidRPr="00FA337B" w:rsidRDefault="00E704AB" w:rsidP="00E704AB">
            <w:pPr>
              <w:autoSpaceDE w:val="0"/>
              <w:autoSpaceDN w:val="0"/>
              <w:adjustRightInd w:val="0"/>
              <w:rPr>
                <w:sz w:val="22"/>
                <w:szCs w:val="22"/>
              </w:rPr>
            </w:pPr>
            <w:r w:rsidRPr="00E704AB">
              <w:rPr>
                <w:sz w:val="22"/>
                <w:szCs w:val="22"/>
              </w:rPr>
              <w:t>comply with the requirements of MACT ZZZZ as of</w:t>
            </w:r>
            <w:r>
              <w:rPr>
                <w:sz w:val="22"/>
                <w:szCs w:val="22"/>
              </w:rPr>
              <w:t xml:space="preserve"> </w:t>
            </w:r>
            <w:r w:rsidRPr="00E704AB">
              <w:rPr>
                <w:sz w:val="22"/>
                <w:szCs w:val="22"/>
              </w:rPr>
              <w:t>May 3, 2013.</w:t>
            </w:r>
          </w:p>
        </w:tc>
      </w:tr>
      <w:tr w:rsidR="00525423" w:rsidRPr="000C4C3B" w14:paraId="4884D1E9" w14:textId="77777777" w:rsidTr="00A5347B">
        <w:tc>
          <w:tcPr>
            <w:tcW w:w="1710" w:type="dxa"/>
            <w:tcBorders>
              <w:top w:val="single" w:sz="6" w:space="0" w:color="000000"/>
              <w:left w:val="single" w:sz="6" w:space="0" w:color="000000"/>
              <w:bottom w:val="single" w:sz="6" w:space="0" w:color="000000"/>
              <w:right w:val="single" w:sz="6" w:space="0" w:color="000000"/>
            </w:tcBorders>
          </w:tcPr>
          <w:p w14:paraId="39D4D487" w14:textId="4449E279" w:rsidR="00525423" w:rsidRPr="000C4C3B" w:rsidRDefault="00525423" w:rsidP="00525423">
            <w:pPr>
              <w:widowControl w:val="0"/>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240" w:lineRule="atLeast"/>
              <w:rPr>
                <w:sz w:val="22"/>
                <w:szCs w:val="22"/>
              </w:rPr>
            </w:pPr>
            <w:r w:rsidRPr="008D6CD1">
              <w:rPr>
                <w:sz w:val="22"/>
                <w:szCs w:val="22"/>
              </w:rPr>
              <w:t xml:space="preserve">40 CFR 63 Subpart </w:t>
            </w:r>
            <w:r>
              <w:rPr>
                <w:sz w:val="22"/>
                <w:szCs w:val="22"/>
              </w:rPr>
              <w:t>DDDDD</w:t>
            </w:r>
          </w:p>
        </w:tc>
        <w:tc>
          <w:tcPr>
            <w:tcW w:w="2700" w:type="dxa"/>
            <w:tcBorders>
              <w:top w:val="single" w:sz="6" w:space="0" w:color="000000"/>
              <w:left w:val="single" w:sz="6" w:space="0" w:color="000000"/>
              <w:bottom w:val="single" w:sz="6" w:space="0" w:color="000000"/>
              <w:right w:val="single" w:sz="6" w:space="0" w:color="000000"/>
            </w:tcBorders>
          </w:tcPr>
          <w:p w14:paraId="34EA0ED8" w14:textId="25DECAA1" w:rsidR="00525423" w:rsidRPr="00FA337B" w:rsidRDefault="002A5810" w:rsidP="00525423">
            <w:pPr>
              <w:widowControl w:val="0"/>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240" w:lineRule="atLeast"/>
              <w:rPr>
                <w:sz w:val="22"/>
                <w:szCs w:val="22"/>
              </w:rPr>
            </w:pPr>
            <w:r w:rsidRPr="002A5810">
              <w:rPr>
                <w:sz w:val="22"/>
                <w:szCs w:val="22"/>
              </w:rPr>
              <w:t>National Emission Standards for Hazardous Air Pollutants for Major Sources: Industrial, Commercial, and Institutional Boilers and Process Heaters</w:t>
            </w:r>
          </w:p>
        </w:tc>
        <w:tc>
          <w:tcPr>
            <w:tcW w:w="972" w:type="dxa"/>
            <w:tcBorders>
              <w:top w:val="single" w:sz="6" w:space="0" w:color="000000"/>
              <w:left w:val="single" w:sz="6" w:space="0" w:color="000000"/>
              <w:bottom w:val="single" w:sz="6" w:space="0" w:color="000000"/>
              <w:right w:val="single" w:sz="6" w:space="0" w:color="000000"/>
            </w:tcBorders>
          </w:tcPr>
          <w:p w14:paraId="1248391B" w14:textId="0AEFAE54" w:rsidR="00525423" w:rsidRDefault="002A5810" w:rsidP="00525423">
            <w:pPr>
              <w:widowControl w:val="0"/>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240" w:lineRule="atLeast"/>
              <w:jc w:val="center"/>
              <w:rPr>
                <w:sz w:val="22"/>
                <w:szCs w:val="22"/>
              </w:rPr>
            </w:pPr>
            <w:r>
              <w:rPr>
                <w:sz w:val="22"/>
                <w:szCs w:val="22"/>
              </w:rPr>
              <w:t>N</w:t>
            </w:r>
          </w:p>
        </w:tc>
        <w:tc>
          <w:tcPr>
            <w:tcW w:w="1098" w:type="dxa"/>
            <w:tcBorders>
              <w:top w:val="single" w:sz="6" w:space="0" w:color="000000"/>
              <w:left w:val="single" w:sz="6" w:space="0" w:color="000000"/>
              <w:bottom w:val="single" w:sz="6" w:space="0" w:color="000000"/>
              <w:right w:val="single" w:sz="6" w:space="0" w:color="000000"/>
            </w:tcBorders>
          </w:tcPr>
          <w:p w14:paraId="77C382F8" w14:textId="77777777" w:rsidR="00525423" w:rsidRDefault="00525423" w:rsidP="00525423">
            <w:pPr>
              <w:pStyle w:val="BodyText2"/>
              <w:widowControl w:val="0"/>
              <w:spacing w:line="240" w:lineRule="atLeast"/>
              <w:rPr>
                <w:sz w:val="22"/>
                <w:szCs w:val="22"/>
              </w:rPr>
            </w:pPr>
          </w:p>
        </w:tc>
        <w:tc>
          <w:tcPr>
            <w:tcW w:w="4410" w:type="dxa"/>
            <w:tcBorders>
              <w:top w:val="single" w:sz="6" w:space="0" w:color="000000"/>
              <w:left w:val="single" w:sz="6" w:space="0" w:color="000000"/>
              <w:bottom w:val="single" w:sz="6" w:space="0" w:color="000000"/>
              <w:right w:val="single" w:sz="6" w:space="0" w:color="000000"/>
            </w:tcBorders>
          </w:tcPr>
          <w:p w14:paraId="22844CD8" w14:textId="1EB09698" w:rsidR="00525423" w:rsidRPr="00E704AB" w:rsidRDefault="002A5810" w:rsidP="002A5810">
            <w:pPr>
              <w:autoSpaceDE w:val="0"/>
              <w:autoSpaceDN w:val="0"/>
              <w:adjustRightInd w:val="0"/>
              <w:rPr>
                <w:sz w:val="22"/>
                <w:szCs w:val="22"/>
              </w:rPr>
            </w:pPr>
            <w:r>
              <w:rPr>
                <w:sz w:val="22"/>
                <w:szCs w:val="22"/>
              </w:rPr>
              <w:t>Hobbs Generating Station is not a major source of HAPs as defined under 63.2</w:t>
            </w:r>
          </w:p>
        </w:tc>
      </w:tr>
      <w:tr w:rsidR="00525423" w:rsidRPr="000C4C3B" w14:paraId="7F1AD191" w14:textId="77777777" w:rsidTr="00A5347B">
        <w:tc>
          <w:tcPr>
            <w:tcW w:w="1710" w:type="dxa"/>
            <w:tcBorders>
              <w:top w:val="single" w:sz="6" w:space="0" w:color="000000"/>
              <w:left w:val="single" w:sz="6" w:space="0" w:color="000000"/>
              <w:bottom w:val="single" w:sz="6" w:space="0" w:color="000000"/>
              <w:right w:val="single" w:sz="6" w:space="0" w:color="000000"/>
            </w:tcBorders>
          </w:tcPr>
          <w:p w14:paraId="53B72E17" w14:textId="618218CB" w:rsidR="00525423" w:rsidRDefault="00525423" w:rsidP="00525423">
            <w:pPr>
              <w:widowControl w:val="0"/>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240" w:lineRule="atLeast"/>
              <w:rPr>
                <w:sz w:val="22"/>
                <w:szCs w:val="22"/>
              </w:rPr>
            </w:pPr>
            <w:r w:rsidRPr="008D6CD1">
              <w:rPr>
                <w:sz w:val="22"/>
                <w:szCs w:val="22"/>
              </w:rPr>
              <w:t xml:space="preserve">40 CFR 63 Subpart </w:t>
            </w:r>
            <w:r>
              <w:rPr>
                <w:sz w:val="22"/>
                <w:szCs w:val="22"/>
              </w:rPr>
              <w:t>UUUUU</w:t>
            </w:r>
          </w:p>
        </w:tc>
        <w:tc>
          <w:tcPr>
            <w:tcW w:w="2700" w:type="dxa"/>
            <w:tcBorders>
              <w:top w:val="single" w:sz="6" w:space="0" w:color="000000"/>
              <w:left w:val="single" w:sz="6" w:space="0" w:color="000000"/>
              <w:bottom w:val="single" w:sz="6" w:space="0" w:color="000000"/>
              <w:right w:val="single" w:sz="6" w:space="0" w:color="000000"/>
            </w:tcBorders>
          </w:tcPr>
          <w:p w14:paraId="356FFB4D" w14:textId="37E25434" w:rsidR="00525423" w:rsidRPr="00FA337B" w:rsidRDefault="002A5810" w:rsidP="00525423">
            <w:pPr>
              <w:widowControl w:val="0"/>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240" w:lineRule="atLeast"/>
              <w:rPr>
                <w:sz w:val="22"/>
                <w:szCs w:val="22"/>
              </w:rPr>
            </w:pPr>
            <w:r w:rsidRPr="002A5810">
              <w:rPr>
                <w:sz w:val="22"/>
                <w:szCs w:val="22"/>
              </w:rPr>
              <w:t>National Emission Standards for Hazardous Air Pollutants: Coal- and Oil-Fired Electric Utility Steam Generating Units</w:t>
            </w:r>
          </w:p>
        </w:tc>
        <w:tc>
          <w:tcPr>
            <w:tcW w:w="972" w:type="dxa"/>
            <w:tcBorders>
              <w:top w:val="single" w:sz="6" w:space="0" w:color="000000"/>
              <w:left w:val="single" w:sz="6" w:space="0" w:color="000000"/>
              <w:bottom w:val="single" w:sz="6" w:space="0" w:color="000000"/>
              <w:right w:val="single" w:sz="6" w:space="0" w:color="000000"/>
            </w:tcBorders>
          </w:tcPr>
          <w:p w14:paraId="240895BC" w14:textId="27D7F99F" w:rsidR="00525423" w:rsidRDefault="002A5810" w:rsidP="00525423">
            <w:pPr>
              <w:widowControl w:val="0"/>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240" w:lineRule="atLeast"/>
              <w:jc w:val="center"/>
              <w:rPr>
                <w:sz w:val="22"/>
                <w:szCs w:val="22"/>
              </w:rPr>
            </w:pPr>
            <w:r>
              <w:rPr>
                <w:sz w:val="22"/>
                <w:szCs w:val="22"/>
              </w:rPr>
              <w:t>N</w:t>
            </w:r>
          </w:p>
        </w:tc>
        <w:tc>
          <w:tcPr>
            <w:tcW w:w="1098" w:type="dxa"/>
            <w:tcBorders>
              <w:top w:val="single" w:sz="6" w:space="0" w:color="000000"/>
              <w:left w:val="single" w:sz="6" w:space="0" w:color="000000"/>
              <w:bottom w:val="single" w:sz="6" w:space="0" w:color="000000"/>
              <w:right w:val="single" w:sz="6" w:space="0" w:color="000000"/>
            </w:tcBorders>
          </w:tcPr>
          <w:p w14:paraId="78652230" w14:textId="77777777" w:rsidR="00525423" w:rsidRDefault="00525423" w:rsidP="00525423">
            <w:pPr>
              <w:pStyle w:val="BodyText2"/>
              <w:widowControl w:val="0"/>
              <w:spacing w:line="240" w:lineRule="atLeast"/>
              <w:rPr>
                <w:sz w:val="22"/>
                <w:szCs w:val="22"/>
              </w:rPr>
            </w:pPr>
          </w:p>
        </w:tc>
        <w:tc>
          <w:tcPr>
            <w:tcW w:w="4410" w:type="dxa"/>
            <w:tcBorders>
              <w:top w:val="single" w:sz="6" w:space="0" w:color="000000"/>
              <w:left w:val="single" w:sz="6" w:space="0" w:color="000000"/>
              <w:bottom w:val="single" w:sz="6" w:space="0" w:color="000000"/>
              <w:right w:val="single" w:sz="6" w:space="0" w:color="000000"/>
            </w:tcBorders>
          </w:tcPr>
          <w:p w14:paraId="5ADD83EC" w14:textId="558AF169" w:rsidR="00525423" w:rsidRDefault="002A5810" w:rsidP="00525423">
            <w:pPr>
              <w:autoSpaceDE w:val="0"/>
              <w:autoSpaceDN w:val="0"/>
              <w:adjustRightInd w:val="0"/>
              <w:rPr>
                <w:sz w:val="22"/>
                <w:szCs w:val="22"/>
              </w:rPr>
            </w:pPr>
            <w:r w:rsidRPr="002A5810">
              <w:rPr>
                <w:sz w:val="22"/>
                <w:szCs w:val="22"/>
              </w:rPr>
              <w:t xml:space="preserve">Hobbs Generating Station </w:t>
            </w:r>
            <w:r>
              <w:rPr>
                <w:sz w:val="22"/>
                <w:szCs w:val="22"/>
              </w:rPr>
              <w:t xml:space="preserve">does not own or operate </w:t>
            </w:r>
            <w:r w:rsidRPr="002A5810">
              <w:rPr>
                <w:sz w:val="22"/>
                <w:szCs w:val="22"/>
              </w:rPr>
              <w:t>coal- and oil-fired electric utility steam generating units (EGUs)</w:t>
            </w:r>
            <w:r>
              <w:rPr>
                <w:sz w:val="22"/>
                <w:szCs w:val="22"/>
              </w:rPr>
              <w:t>.  All units are natural gas fired except for diesel standby/emergency units</w:t>
            </w:r>
          </w:p>
        </w:tc>
      </w:tr>
      <w:tr w:rsidR="00A01BEB" w:rsidRPr="000C4C3B" w14:paraId="18483628" w14:textId="77777777" w:rsidTr="00A5347B">
        <w:tc>
          <w:tcPr>
            <w:tcW w:w="1710" w:type="dxa"/>
            <w:tcBorders>
              <w:top w:val="single" w:sz="6" w:space="0" w:color="000000"/>
              <w:left w:val="single" w:sz="6" w:space="0" w:color="000000"/>
              <w:bottom w:val="single" w:sz="6" w:space="0" w:color="000000"/>
              <w:right w:val="single" w:sz="6" w:space="0" w:color="000000"/>
            </w:tcBorders>
          </w:tcPr>
          <w:p w14:paraId="5D7DFBE2" w14:textId="58785847" w:rsidR="00A01BEB" w:rsidRPr="000C4C3B" w:rsidRDefault="00525423" w:rsidP="00525423">
            <w:pPr>
              <w:widowControl w:val="0"/>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240" w:lineRule="atLeast"/>
              <w:rPr>
                <w:sz w:val="22"/>
                <w:szCs w:val="22"/>
              </w:rPr>
            </w:pPr>
            <w:r w:rsidRPr="000C4C3B">
              <w:rPr>
                <w:sz w:val="22"/>
                <w:szCs w:val="22"/>
              </w:rPr>
              <w:t xml:space="preserve">40 CFR 63 Subpart </w:t>
            </w:r>
            <w:r w:rsidR="00A01BEB">
              <w:rPr>
                <w:sz w:val="22"/>
                <w:szCs w:val="22"/>
              </w:rPr>
              <w:t xml:space="preserve"> CCCCCC</w:t>
            </w:r>
          </w:p>
        </w:tc>
        <w:tc>
          <w:tcPr>
            <w:tcW w:w="2700" w:type="dxa"/>
            <w:tcBorders>
              <w:top w:val="single" w:sz="6" w:space="0" w:color="000000"/>
              <w:left w:val="single" w:sz="6" w:space="0" w:color="000000"/>
              <w:bottom w:val="single" w:sz="6" w:space="0" w:color="000000"/>
              <w:right w:val="single" w:sz="6" w:space="0" w:color="000000"/>
            </w:tcBorders>
          </w:tcPr>
          <w:p w14:paraId="4534E91D" w14:textId="22F32201" w:rsidR="00A01BEB" w:rsidRPr="00FA337B" w:rsidRDefault="00A01BEB" w:rsidP="00FA0F04">
            <w:pPr>
              <w:widowControl w:val="0"/>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240" w:lineRule="atLeast"/>
              <w:rPr>
                <w:sz w:val="22"/>
                <w:szCs w:val="22"/>
              </w:rPr>
            </w:pPr>
            <w:r w:rsidRPr="00A01BEB">
              <w:rPr>
                <w:sz w:val="22"/>
                <w:szCs w:val="22"/>
              </w:rPr>
              <w:t>National Emission Standards for Hazardous Air Pollutants for Source Category: Gasoline Dispensing Facilities</w:t>
            </w:r>
          </w:p>
        </w:tc>
        <w:tc>
          <w:tcPr>
            <w:tcW w:w="972" w:type="dxa"/>
            <w:tcBorders>
              <w:top w:val="single" w:sz="6" w:space="0" w:color="000000"/>
              <w:left w:val="single" w:sz="6" w:space="0" w:color="000000"/>
              <w:bottom w:val="single" w:sz="6" w:space="0" w:color="000000"/>
              <w:right w:val="single" w:sz="6" w:space="0" w:color="000000"/>
            </w:tcBorders>
          </w:tcPr>
          <w:p w14:paraId="19DFD97A" w14:textId="036C43B8" w:rsidR="00A01BEB" w:rsidRDefault="00084899" w:rsidP="00084899">
            <w:pPr>
              <w:widowControl w:val="0"/>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240" w:lineRule="atLeast"/>
              <w:jc w:val="center"/>
              <w:rPr>
                <w:sz w:val="22"/>
                <w:szCs w:val="22"/>
              </w:rPr>
            </w:pPr>
            <w:r>
              <w:rPr>
                <w:sz w:val="22"/>
                <w:szCs w:val="22"/>
              </w:rPr>
              <w:t xml:space="preserve">N, (Y for Title V only) </w:t>
            </w:r>
          </w:p>
        </w:tc>
        <w:tc>
          <w:tcPr>
            <w:tcW w:w="1098" w:type="dxa"/>
            <w:tcBorders>
              <w:top w:val="single" w:sz="6" w:space="0" w:color="000000"/>
              <w:left w:val="single" w:sz="6" w:space="0" w:color="000000"/>
              <w:bottom w:val="single" w:sz="6" w:space="0" w:color="000000"/>
              <w:right w:val="single" w:sz="6" w:space="0" w:color="000000"/>
            </w:tcBorders>
          </w:tcPr>
          <w:p w14:paraId="3BA6CBED" w14:textId="2546D86E" w:rsidR="00A01BEB" w:rsidRDefault="00A01BEB" w:rsidP="00084899">
            <w:pPr>
              <w:pStyle w:val="BodyText2"/>
              <w:widowControl w:val="0"/>
              <w:spacing w:line="240" w:lineRule="atLeast"/>
              <w:rPr>
                <w:sz w:val="22"/>
                <w:szCs w:val="22"/>
              </w:rPr>
            </w:pPr>
            <w:r>
              <w:rPr>
                <w:sz w:val="22"/>
                <w:szCs w:val="22"/>
              </w:rPr>
              <w:t>T-9</w:t>
            </w:r>
            <w:r w:rsidR="00084899">
              <w:rPr>
                <w:sz w:val="22"/>
                <w:szCs w:val="22"/>
              </w:rPr>
              <w:t xml:space="preserve"> </w:t>
            </w:r>
          </w:p>
        </w:tc>
        <w:tc>
          <w:tcPr>
            <w:tcW w:w="4410" w:type="dxa"/>
            <w:tcBorders>
              <w:top w:val="single" w:sz="6" w:space="0" w:color="000000"/>
              <w:left w:val="single" w:sz="6" w:space="0" w:color="000000"/>
              <w:bottom w:val="single" w:sz="6" w:space="0" w:color="000000"/>
              <w:right w:val="single" w:sz="6" w:space="0" w:color="000000"/>
            </w:tcBorders>
          </w:tcPr>
          <w:p w14:paraId="08EA1C31" w14:textId="6D757278" w:rsidR="00A01BEB" w:rsidRPr="00E704AB" w:rsidRDefault="00A01BEB" w:rsidP="0067536F">
            <w:pPr>
              <w:autoSpaceDE w:val="0"/>
              <w:autoSpaceDN w:val="0"/>
              <w:adjustRightInd w:val="0"/>
              <w:rPr>
                <w:sz w:val="22"/>
                <w:szCs w:val="22"/>
              </w:rPr>
            </w:pPr>
            <w:r w:rsidRPr="00A01BEB">
              <w:rPr>
                <w:sz w:val="22"/>
                <w:szCs w:val="22"/>
              </w:rPr>
              <w:t xml:space="preserve">The affected source is located at an area source of HAPs.  The proposed gasoline storage tank (T-9) will have a monthly throughput of less than 10,000 gallons of gasoline, and therefore, T-9 must comply with the requirements in </w:t>
            </w:r>
            <w:r w:rsidRPr="00A01BEB">
              <w:rPr>
                <w:sz w:val="22"/>
                <w:szCs w:val="22"/>
              </w:rPr>
              <w:lastRenderedPageBreak/>
              <w:t>§63.11116, which include</w:t>
            </w:r>
            <w:r>
              <w:rPr>
                <w:sz w:val="22"/>
                <w:szCs w:val="22"/>
              </w:rPr>
              <w:t xml:space="preserve"> </w:t>
            </w:r>
            <w:r w:rsidR="0067536F">
              <w:rPr>
                <w:sz w:val="22"/>
                <w:szCs w:val="22"/>
              </w:rPr>
              <w:t xml:space="preserve">but </w:t>
            </w:r>
            <w:r>
              <w:rPr>
                <w:sz w:val="22"/>
                <w:szCs w:val="22"/>
              </w:rPr>
              <w:t>are not limited to</w:t>
            </w:r>
            <w:r w:rsidRPr="00A01BEB">
              <w:rPr>
                <w:sz w:val="22"/>
                <w:szCs w:val="22"/>
              </w:rPr>
              <w:t>: (1) minimize gasoline spills; (2) clean up spills as expeditiously as practicable; (3) cover all open gasoline containers and all gasoline storage tank fill-pipes with a gasketed seal when not in use; and (4) minimize gasoline sent to open waste collection systems.</w:t>
            </w:r>
            <w:r w:rsidR="00084899">
              <w:rPr>
                <w:sz w:val="22"/>
                <w:szCs w:val="22"/>
              </w:rPr>
              <w:t xml:space="preserve"> T-9 is exempt under NSR but will have requirements under Title V.</w:t>
            </w:r>
          </w:p>
        </w:tc>
      </w:tr>
      <w:tr w:rsidR="00525423" w:rsidRPr="000C4C3B" w14:paraId="78155BCB" w14:textId="77777777" w:rsidTr="00A5347B">
        <w:tc>
          <w:tcPr>
            <w:tcW w:w="1710" w:type="dxa"/>
            <w:tcBorders>
              <w:top w:val="single" w:sz="6" w:space="0" w:color="000000"/>
              <w:left w:val="single" w:sz="6" w:space="0" w:color="000000"/>
              <w:bottom w:val="single" w:sz="6" w:space="0" w:color="000000"/>
              <w:right w:val="single" w:sz="6" w:space="0" w:color="000000"/>
            </w:tcBorders>
          </w:tcPr>
          <w:p w14:paraId="0176EF5A" w14:textId="60087772" w:rsidR="00525423" w:rsidRDefault="00525423" w:rsidP="00FA0F04">
            <w:pPr>
              <w:widowControl w:val="0"/>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240" w:lineRule="atLeast"/>
              <w:rPr>
                <w:sz w:val="22"/>
                <w:szCs w:val="22"/>
              </w:rPr>
            </w:pPr>
            <w:r w:rsidRPr="000C4C3B">
              <w:rPr>
                <w:sz w:val="22"/>
                <w:szCs w:val="22"/>
              </w:rPr>
              <w:lastRenderedPageBreak/>
              <w:t>40 CFR 63 Subpart</w:t>
            </w:r>
            <w:r>
              <w:rPr>
                <w:sz w:val="22"/>
                <w:szCs w:val="22"/>
              </w:rPr>
              <w:t xml:space="preserve"> JJJJJJ</w:t>
            </w:r>
          </w:p>
        </w:tc>
        <w:tc>
          <w:tcPr>
            <w:tcW w:w="2700" w:type="dxa"/>
            <w:tcBorders>
              <w:top w:val="single" w:sz="6" w:space="0" w:color="000000"/>
              <w:left w:val="single" w:sz="6" w:space="0" w:color="000000"/>
              <w:bottom w:val="single" w:sz="6" w:space="0" w:color="000000"/>
              <w:right w:val="single" w:sz="6" w:space="0" w:color="000000"/>
            </w:tcBorders>
          </w:tcPr>
          <w:p w14:paraId="4AC8F010" w14:textId="506E0075" w:rsidR="00525423" w:rsidRPr="00A01BEB" w:rsidRDefault="00BF4130" w:rsidP="00FA0F04">
            <w:pPr>
              <w:widowControl w:val="0"/>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240" w:lineRule="atLeast"/>
              <w:rPr>
                <w:sz w:val="22"/>
                <w:szCs w:val="22"/>
              </w:rPr>
            </w:pPr>
            <w:r w:rsidRPr="00BF4130">
              <w:rPr>
                <w:sz w:val="22"/>
                <w:szCs w:val="22"/>
              </w:rPr>
              <w:t>National Emission Standards for Hazardous Air Pollutants for Industrial, Commercial, and Institutional Boilers Area Sources</w:t>
            </w:r>
          </w:p>
        </w:tc>
        <w:tc>
          <w:tcPr>
            <w:tcW w:w="972" w:type="dxa"/>
            <w:tcBorders>
              <w:top w:val="single" w:sz="6" w:space="0" w:color="000000"/>
              <w:left w:val="single" w:sz="6" w:space="0" w:color="000000"/>
              <w:bottom w:val="single" w:sz="6" w:space="0" w:color="000000"/>
              <w:right w:val="single" w:sz="6" w:space="0" w:color="000000"/>
            </w:tcBorders>
          </w:tcPr>
          <w:p w14:paraId="19AE81A3" w14:textId="70B6A1CE" w:rsidR="00525423" w:rsidRDefault="00C00AD9" w:rsidP="00FA0F04">
            <w:pPr>
              <w:widowControl w:val="0"/>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240" w:lineRule="atLeast"/>
              <w:jc w:val="center"/>
              <w:rPr>
                <w:sz w:val="22"/>
                <w:szCs w:val="22"/>
              </w:rPr>
            </w:pPr>
            <w:r>
              <w:rPr>
                <w:sz w:val="22"/>
                <w:szCs w:val="22"/>
              </w:rPr>
              <w:t>N</w:t>
            </w:r>
          </w:p>
        </w:tc>
        <w:tc>
          <w:tcPr>
            <w:tcW w:w="1098" w:type="dxa"/>
            <w:tcBorders>
              <w:top w:val="single" w:sz="6" w:space="0" w:color="000000"/>
              <w:left w:val="single" w:sz="6" w:space="0" w:color="000000"/>
              <w:bottom w:val="single" w:sz="6" w:space="0" w:color="000000"/>
              <w:right w:val="single" w:sz="6" w:space="0" w:color="000000"/>
            </w:tcBorders>
          </w:tcPr>
          <w:p w14:paraId="56B017C4" w14:textId="77777777" w:rsidR="00525423" w:rsidRDefault="00525423" w:rsidP="00FA0F04">
            <w:pPr>
              <w:pStyle w:val="BodyText2"/>
              <w:widowControl w:val="0"/>
              <w:spacing w:line="240" w:lineRule="atLeast"/>
              <w:rPr>
                <w:sz w:val="22"/>
                <w:szCs w:val="22"/>
              </w:rPr>
            </w:pPr>
          </w:p>
        </w:tc>
        <w:tc>
          <w:tcPr>
            <w:tcW w:w="4410" w:type="dxa"/>
            <w:tcBorders>
              <w:top w:val="single" w:sz="6" w:space="0" w:color="000000"/>
              <w:left w:val="single" w:sz="6" w:space="0" w:color="000000"/>
              <w:bottom w:val="single" w:sz="6" w:space="0" w:color="000000"/>
              <w:right w:val="single" w:sz="6" w:space="0" w:color="000000"/>
            </w:tcBorders>
          </w:tcPr>
          <w:p w14:paraId="3C8C93F8" w14:textId="7D40F932" w:rsidR="00525423" w:rsidRPr="00A01BEB" w:rsidRDefault="00BF4130" w:rsidP="0055702E">
            <w:pPr>
              <w:autoSpaceDE w:val="0"/>
              <w:autoSpaceDN w:val="0"/>
              <w:adjustRightInd w:val="0"/>
              <w:rPr>
                <w:sz w:val="22"/>
                <w:szCs w:val="22"/>
              </w:rPr>
            </w:pPr>
            <w:r w:rsidRPr="00BF4130">
              <w:rPr>
                <w:sz w:val="22"/>
                <w:szCs w:val="22"/>
              </w:rPr>
              <w:t>Hobbs Generating Station is a</w:t>
            </w:r>
            <w:r>
              <w:rPr>
                <w:sz w:val="22"/>
                <w:szCs w:val="22"/>
              </w:rPr>
              <w:t>n</w:t>
            </w:r>
            <w:r w:rsidRPr="00BF4130">
              <w:rPr>
                <w:sz w:val="22"/>
                <w:szCs w:val="22"/>
              </w:rPr>
              <w:t xml:space="preserve"> </w:t>
            </w:r>
            <w:r>
              <w:rPr>
                <w:sz w:val="22"/>
                <w:szCs w:val="22"/>
              </w:rPr>
              <w:t xml:space="preserve">area </w:t>
            </w:r>
            <w:r w:rsidRPr="00BF4130">
              <w:rPr>
                <w:sz w:val="22"/>
                <w:szCs w:val="22"/>
              </w:rPr>
              <w:t>source of HAPs as defined under 63.2</w:t>
            </w:r>
            <w:r w:rsidR="00DB6BD3">
              <w:rPr>
                <w:sz w:val="22"/>
                <w:szCs w:val="22"/>
              </w:rPr>
              <w:t xml:space="preserve">. </w:t>
            </w:r>
            <w:r w:rsidR="0055702E">
              <w:rPr>
                <w:sz w:val="22"/>
                <w:szCs w:val="22"/>
              </w:rPr>
              <w:t>Hobbs does not have any boilers as defined under 63.11237; process heaters are excluded from the definition of boiler under this subpart.</w:t>
            </w:r>
          </w:p>
        </w:tc>
      </w:tr>
    </w:tbl>
    <w:p w14:paraId="449E6802" w14:textId="77777777" w:rsidR="00BF43B7" w:rsidRDefault="00BF43B7" w:rsidP="00FA0F04">
      <w:pPr>
        <w:widowControl w:val="0"/>
        <w:rPr>
          <w:sz w:val="22"/>
          <w:szCs w:val="22"/>
        </w:rPr>
      </w:pPr>
    </w:p>
    <w:tbl>
      <w:tblPr>
        <w:tblW w:w="10890" w:type="dxa"/>
        <w:tblInd w:w="-558" w:type="dxa"/>
        <w:tblLayout w:type="fixed"/>
        <w:tblCellMar>
          <w:left w:w="72" w:type="dxa"/>
          <w:right w:w="72" w:type="dxa"/>
        </w:tblCellMar>
        <w:tblLook w:val="0000" w:firstRow="0" w:lastRow="0" w:firstColumn="0" w:lastColumn="0" w:noHBand="0" w:noVBand="0"/>
      </w:tblPr>
      <w:tblGrid>
        <w:gridCol w:w="1710"/>
        <w:gridCol w:w="2700"/>
        <w:gridCol w:w="972"/>
        <w:gridCol w:w="1098"/>
        <w:gridCol w:w="4410"/>
      </w:tblGrid>
      <w:tr w:rsidR="00A5347B" w:rsidRPr="000C4C3B" w14:paraId="499736F1" w14:textId="77777777" w:rsidTr="00A5347B">
        <w:trPr>
          <w:cantSplit/>
          <w:tblHeader/>
        </w:trPr>
        <w:tc>
          <w:tcPr>
            <w:tcW w:w="1710" w:type="dxa"/>
            <w:tcBorders>
              <w:top w:val="single" w:sz="6" w:space="0" w:color="000000"/>
              <w:left w:val="single" w:sz="6" w:space="0" w:color="000000"/>
              <w:bottom w:val="single" w:sz="6" w:space="0" w:color="000000"/>
              <w:right w:val="single" w:sz="6" w:space="0" w:color="000000"/>
            </w:tcBorders>
            <w:shd w:val="clear" w:color="auto" w:fill="F3F3F3"/>
          </w:tcPr>
          <w:p w14:paraId="0C08F78F" w14:textId="77777777" w:rsidR="00A5347B" w:rsidRPr="000C4C3B" w:rsidRDefault="00A5347B" w:rsidP="00FA0F04">
            <w:pPr>
              <w:widowControl w:val="0"/>
              <w:spacing w:after="14" w:line="240" w:lineRule="atLeast"/>
              <w:rPr>
                <w:sz w:val="22"/>
                <w:szCs w:val="22"/>
              </w:rPr>
            </w:pPr>
            <w:r>
              <w:rPr>
                <w:b/>
                <w:bCs/>
                <w:sz w:val="22"/>
                <w:szCs w:val="22"/>
              </w:rPr>
              <w:t xml:space="preserve">Miscellaneous </w:t>
            </w:r>
          </w:p>
        </w:tc>
        <w:tc>
          <w:tcPr>
            <w:tcW w:w="2700" w:type="dxa"/>
            <w:tcBorders>
              <w:top w:val="single" w:sz="6" w:space="0" w:color="000000"/>
              <w:left w:val="single" w:sz="6" w:space="0" w:color="000000"/>
              <w:bottom w:val="single" w:sz="6" w:space="0" w:color="000000"/>
              <w:right w:val="single" w:sz="6" w:space="0" w:color="000000"/>
            </w:tcBorders>
            <w:shd w:val="clear" w:color="auto" w:fill="F3F3F3"/>
          </w:tcPr>
          <w:p w14:paraId="4F0DF2D4" w14:textId="77777777" w:rsidR="00A5347B" w:rsidRPr="000C4C3B" w:rsidRDefault="00A5347B" w:rsidP="00FA0F04">
            <w:pPr>
              <w:widowControl w:val="0"/>
              <w:spacing w:after="14" w:line="240" w:lineRule="atLeast"/>
              <w:jc w:val="center"/>
              <w:rPr>
                <w:b/>
                <w:bCs/>
                <w:sz w:val="22"/>
                <w:szCs w:val="22"/>
              </w:rPr>
            </w:pPr>
            <w:r w:rsidRPr="000C4C3B">
              <w:rPr>
                <w:b/>
                <w:bCs/>
                <w:sz w:val="22"/>
                <w:szCs w:val="22"/>
              </w:rPr>
              <w:t>Title</w:t>
            </w:r>
          </w:p>
        </w:tc>
        <w:tc>
          <w:tcPr>
            <w:tcW w:w="972" w:type="dxa"/>
            <w:tcBorders>
              <w:top w:val="single" w:sz="6" w:space="0" w:color="000000"/>
              <w:left w:val="single" w:sz="6" w:space="0" w:color="000000"/>
              <w:bottom w:val="single" w:sz="6" w:space="0" w:color="000000"/>
              <w:right w:val="single" w:sz="6" w:space="0" w:color="000000"/>
            </w:tcBorders>
            <w:shd w:val="clear" w:color="auto" w:fill="F3F3F3"/>
          </w:tcPr>
          <w:p w14:paraId="65298C99" w14:textId="77777777" w:rsidR="00A5347B" w:rsidRPr="000C4C3B" w:rsidRDefault="00A5347B" w:rsidP="00FA0F04">
            <w:pPr>
              <w:widowControl w:val="0"/>
              <w:spacing w:line="240" w:lineRule="atLeast"/>
              <w:jc w:val="center"/>
              <w:rPr>
                <w:b/>
                <w:bCs/>
                <w:sz w:val="22"/>
                <w:szCs w:val="22"/>
              </w:rPr>
            </w:pPr>
            <w:r w:rsidRPr="000C4C3B">
              <w:rPr>
                <w:b/>
                <w:bCs/>
                <w:sz w:val="22"/>
                <w:szCs w:val="22"/>
              </w:rPr>
              <w:t>Applies</w:t>
            </w:r>
          </w:p>
          <w:p w14:paraId="0603C4C5" w14:textId="77777777" w:rsidR="00A5347B" w:rsidRPr="000C4C3B" w:rsidRDefault="00A5347B" w:rsidP="00FA0F04">
            <w:pPr>
              <w:widowControl w:val="0"/>
              <w:spacing w:after="14" w:line="240" w:lineRule="atLeast"/>
              <w:jc w:val="center"/>
              <w:rPr>
                <w:b/>
                <w:bCs/>
                <w:sz w:val="22"/>
                <w:szCs w:val="22"/>
              </w:rPr>
            </w:pPr>
            <w:r w:rsidRPr="000C4C3B">
              <w:rPr>
                <w:b/>
                <w:bCs/>
                <w:sz w:val="22"/>
                <w:szCs w:val="22"/>
              </w:rPr>
              <w:t>(Y/N)</w:t>
            </w:r>
          </w:p>
        </w:tc>
        <w:tc>
          <w:tcPr>
            <w:tcW w:w="1098" w:type="dxa"/>
            <w:tcBorders>
              <w:top w:val="single" w:sz="6" w:space="0" w:color="000000"/>
              <w:left w:val="single" w:sz="6" w:space="0" w:color="000000"/>
              <w:bottom w:val="single" w:sz="6" w:space="0" w:color="000000"/>
              <w:right w:val="single" w:sz="6" w:space="0" w:color="000000"/>
            </w:tcBorders>
            <w:shd w:val="clear" w:color="auto" w:fill="F3F3F3"/>
          </w:tcPr>
          <w:p w14:paraId="59A05E5B" w14:textId="77777777" w:rsidR="00A5347B" w:rsidRPr="000C4C3B" w:rsidRDefault="00A5347B" w:rsidP="00FA0F04">
            <w:pPr>
              <w:widowControl w:val="0"/>
              <w:spacing w:after="14" w:line="240" w:lineRule="atLeast"/>
              <w:jc w:val="center"/>
              <w:rPr>
                <w:b/>
                <w:bCs/>
                <w:sz w:val="22"/>
                <w:szCs w:val="22"/>
              </w:rPr>
            </w:pPr>
            <w:r>
              <w:rPr>
                <w:b/>
                <w:bCs/>
                <w:sz w:val="22"/>
                <w:szCs w:val="22"/>
              </w:rPr>
              <w:t>Unit(s) or Facility</w:t>
            </w:r>
          </w:p>
        </w:tc>
        <w:tc>
          <w:tcPr>
            <w:tcW w:w="4410" w:type="dxa"/>
            <w:tcBorders>
              <w:top w:val="single" w:sz="6" w:space="0" w:color="000000"/>
              <w:left w:val="single" w:sz="6" w:space="0" w:color="000000"/>
              <w:bottom w:val="single" w:sz="6" w:space="0" w:color="000000"/>
              <w:right w:val="single" w:sz="6" w:space="0" w:color="000000"/>
            </w:tcBorders>
            <w:shd w:val="clear" w:color="auto" w:fill="F3F3F3"/>
          </w:tcPr>
          <w:p w14:paraId="7850AA03" w14:textId="77777777" w:rsidR="00A5347B" w:rsidRPr="000C4C3B" w:rsidRDefault="00A5347B" w:rsidP="00FA0F04">
            <w:pPr>
              <w:widowControl w:val="0"/>
              <w:spacing w:after="14" w:line="240" w:lineRule="atLeast"/>
              <w:jc w:val="center"/>
              <w:rPr>
                <w:b/>
                <w:bCs/>
                <w:sz w:val="22"/>
                <w:szCs w:val="22"/>
              </w:rPr>
            </w:pPr>
            <w:r w:rsidRPr="000C4C3B">
              <w:rPr>
                <w:b/>
                <w:bCs/>
                <w:sz w:val="22"/>
                <w:szCs w:val="22"/>
              </w:rPr>
              <w:t>Comments</w:t>
            </w:r>
          </w:p>
        </w:tc>
      </w:tr>
      <w:tr w:rsidR="00A5347B" w:rsidRPr="000C4C3B" w14:paraId="75505CE9" w14:textId="77777777" w:rsidTr="00A5347B">
        <w:tc>
          <w:tcPr>
            <w:tcW w:w="1710" w:type="dxa"/>
            <w:tcBorders>
              <w:top w:val="single" w:sz="6" w:space="0" w:color="000000"/>
              <w:left w:val="single" w:sz="6" w:space="0" w:color="000000"/>
              <w:bottom w:val="single" w:sz="6" w:space="0" w:color="000000"/>
              <w:right w:val="single" w:sz="6" w:space="0" w:color="000000"/>
            </w:tcBorders>
          </w:tcPr>
          <w:p w14:paraId="49238D26" w14:textId="77777777" w:rsidR="00A5347B" w:rsidRPr="00AF0584" w:rsidRDefault="00A5347B" w:rsidP="00FA0F04">
            <w:pPr>
              <w:widowControl w:val="0"/>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240" w:lineRule="atLeast"/>
              <w:rPr>
                <w:sz w:val="22"/>
                <w:szCs w:val="22"/>
              </w:rPr>
            </w:pPr>
            <w:r w:rsidRPr="00AF0584">
              <w:rPr>
                <w:sz w:val="22"/>
                <w:szCs w:val="22"/>
              </w:rPr>
              <w:t>40 CFR 64</w:t>
            </w:r>
          </w:p>
        </w:tc>
        <w:tc>
          <w:tcPr>
            <w:tcW w:w="2700" w:type="dxa"/>
            <w:tcBorders>
              <w:top w:val="single" w:sz="6" w:space="0" w:color="000000"/>
              <w:left w:val="single" w:sz="6" w:space="0" w:color="000000"/>
              <w:bottom w:val="single" w:sz="6" w:space="0" w:color="000000"/>
              <w:right w:val="single" w:sz="6" w:space="0" w:color="000000"/>
            </w:tcBorders>
          </w:tcPr>
          <w:p w14:paraId="73EABD39" w14:textId="77777777" w:rsidR="00A5347B" w:rsidRPr="00AF0584" w:rsidRDefault="00A5347B" w:rsidP="00FA0F04">
            <w:pPr>
              <w:widowControl w:val="0"/>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240" w:lineRule="atLeast"/>
              <w:rPr>
                <w:sz w:val="22"/>
                <w:szCs w:val="22"/>
              </w:rPr>
            </w:pPr>
            <w:r w:rsidRPr="00AF0584">
              <w:rPr>
                <w:sz w:val="22"/>
                <w:szCs w:val="22"/>
              </w:rPr>
              <w:t>Compliance Assurance Monitoring</w:t>
            </w:r>
          </w:p>
        </w:tc>
        <w:tc>
          <w:tcPr>
            <w:tcW w:w="972" w:type="dxa"/>
            <w:tcBorders>
              <w:top w:val="single" w:sz="6" w:space="0" w:color="000000"/>
              <w:left w:val="single" w:sz="6" w:space="0" w:color="000000"/>
              <w:bottom w:val="single" w:sz="6" w:space="0" w:color="000000"/>
              <w:right w:val="single" w:sz="6" w:space="0" w:color="000000"/>
            </w:tcBorders>
          </w:tcPr>
          <w:p w14:paraId="0F6A2C6B" w14:textId="77777777" w:rsidR="00A5347B" w:rsidRPr="00AF0584" w:rsidRDefault="00CE6C13" w:rsidP="00FA0F04">
            <w:pPr>
              <w:widowControl w:val="0"/>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240" w:lineRule="atLeast"/>
              <w:jc w:val="center"/>
              <w:rPr>
                <w:sz w:val="22"/>
                <w:szCs w:val="22"/>
              </w:rPr>
            </w:pPr>
            <w:r>
              <w:rPr>
                <w:sz w:val="22"/>
                <w:szCs w:val="22"/>
              </w:rPr>
              <w:t>N</w:t>
            </w:r>
          </w:p>
        </w:tc>
        <w:tc>
          <w:tcPr>
            <w:tcW w:w="1098" w:type="dxa"/>
            <w:tcBorders>
              <w:top w:val="single" w:sz="6" w:space="0" w:color="000000"/>
              <w:left w:val="single" w:sz="6" w:space="0" w:color="000000"/>
              <w:bottom w:val="single" w:sz="6" w:space="0" w:color="000000"/>
              <w:right w:val="single" w:sz="6" w:space="0" w:color="000000"/>
            </w:tcBorders>
          </w:tcPr>
          <w:p w14:paraId="7736D052" w14:textId="77777777" w:rsidR="00A5347B" w:rsidRDefault="00E704AB" w:rsidP="00FA0F04">
            <w:pPr>
              <w:widowControl w:val="0"/>
              <w:spacing w:after="58" w:line="240" w:lineRule="atLeast"/>
              <w:rPr>
                <w:sz w:val="22"/>
                <w:szCs w:val="22"/>
              </w:rPr>
            </w:pPr>
            <w:r>
              <w:rPr>
                <w:sz w:val="22"/>
                <w:szCs w:val="22"/>
              </w:rPr>
              <w:t>HOBB-1/DB-1 &amp; HOBB-2/DB-2</w:t>
            </w:r>
          </w:p>
        </w:tc>
        <w:tc>
          <w:tcPr>
            <w:tcW w:w="4410" w:type="dxa"/>
            <w:tcBorders>
              <w:top w:val="single" w:sz="6" w:space="0" w:color="000000"/>
              <w:left w:val="single" w:sz="6" w:space="0" w:color="000000"/>
              <w:bottom w:val="single" w:sz="6" w:space="0" w:color="000000"/>
              <w:right w:val="single" w:sz="6" w:space="0" w:color="000000"/>
            </w:tcBorders>
          </w:tcPr>
          <w:p w14:paraId="0CE2D6A0" w14:textId="77777777" w:rsidR="00A5347B" w:rsidRPr="00FA337B" w:rsidRDefault="00E704AB" w:rsidP="00E704AB">
            <w:pPr>
              <w:autoSpaceDE w:val="0"/>
              <w:autoSpaceDN w:val="0"/>
              <w:adjustRightInd w:val="0"/>
              <w:rPr>
                <w:sz w:val="22"/>
                <w:szCs w:val="22"/>
              </w:rPr>
            </w:pPr>
            <w:r w:rsidRPr="00E704AB">
              <w:rPr>
                <w:sz w:val="22"/>
                <w:szCs w:val="22"/>
              </w:rPr>
              <w:t>Hobbs CTGs/HRSG exhaust stacks are equipped</w:t>
            </w:r>
            <w:r>
              <w:rPr>
                <w:sz w:val="22"/>
                <w:szCs w:val="22"/>
              </w:rPr>
              <w:t xml:space="preserve"> </w:t>
            </w:r>
            <w:r w:rsidRPr="00E704AB">
              <w:rPr>
                <w:sz w:val="22"/>
                <w:szCs w:val="22"/>
              </w:rPr>
              <w:t>with CEMS that satisfy CAM exemption</w:t>
            </w:r>
            <w:r>
              <w:rPr>
                <w:sz w:val="22"/>
                <w:szCs w:val="22"/>
              </w:rPr>
              <w:t xml:space="preserve"> </w:t>
            </w:r>
            <w:r w:rsidRPr="00E704AB">
              <w:rPr>
                <w:sz w:val="22"/>
                <w:szCs w:val="22"/>
              </w:rPr>
              <w:t>requirements (§64.2(b)(1)(vi)).</w:t>
            </w:r>
          </w:p>
        </w:tc>
      </w:tr>
      <w:tr w:rsidR="00A5347B" w:rsidRPr="000C4C3B" w14:paraId="5A89A7EC" w14:textId="77777777" w:rsidTr="00A5347B">
        <w:tc>
          <w:tcPr>
            <w:tcW w:w="1710" w:type="dxa"/>
            <w:tcBorders>
              <w:top w:val="single" w:sz="6" w:space="0" w:color="000000"/>
              <w:left w:val="single" w:sz="6" w:space="0" w:color="000000"/>
              <w:bottom w:val="single" w:sz="6" w:space="0" w:color="000000"/>
              <w:right w:val="single" w:sz="6" w:space="0" w:color="000000"/>
            </w:tcBorders>
          </w:tcPr>
          <w:p w14:paraId="27095DF8" w14:textId="77777777" w:rsidR="00A5347B" w:rsidRPr="00AF0584" w:rsidRDefault="00A5347B" w:rsidP="00FA0F04">
            <w:pPr>
              <w:widowControl w:val="0"/>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240" w:lineRule="atLeast"/>
              <w:rPr>
                <w:sz w:val="22"/>
                <w:szCs w:val="22"/>
              </w:rPr>
            </w:pPr>
            <w:r w:rsidRPr="00AF0584">
              <w:rPr>
                <w:sz w:val="22"/>
                <w:szCs w:val="22"/>
              </w:rPr>
              <w:t>40 CFR 68</w:t>
            </w:r>
          </w:p>
        </w:tc>
        <w:tc>
          <w:tcPr>
            <w:tcW w:w="2700" w:type="dxa"/>
            <w:tcBorders>
              <w:top w:val="single" w:sz="6" w:space="0" w:color="000000"/>
              <w:left w:val="single" w:sz="6" w:space="0" w:color="000000"/>
              <w:bottom w:val="single" w:sz="6" w:space="0" w:color="000000"/>
              <w:right w:val="single" w:sz="6" w:space="0" w:color="000000"/>
            </w:tcBorders>
          </w:tcPr>
          <w:p w14:paraId="2D66A85F" w14:textId="77777777" w:rsidR="00A5347B" w:rsidRPr="00AF0584" w:rsidRDefault="00A5347B" w:rsidP="00FA0F04">
            <w:pPr>
              <w:widowControl w:val="0"/>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240" w:lineRule="atLeast"/>
              <w:rPr>
                <w:sz w:val="22"/>
                <w:szCs w:val="22"/>
              </w:rPr>
            </w:pPr>
            <w:r w:rsidRPr="00AF0584">
              <w:rPr>
                <w:sz w:val="22"/>
                <w:szCs w:val="22"/>
              </w:rPr>
              <w:t>Chemical Accident Prevention</w:t>
            </w:r>
          </w:p>
        </w:tc>
        <w:tc>
          <w:tcPr>
            <w:tcW w:w="972" w:type="dxa"/>
            <w:tcBorders>
              <w:top w:val="single" w:sz="6" w:space="0" w:color="000000"/>
              <w:left w:val="single" w:sz="6" w:space="0" w:color="000000"/>
              <w:bottom w:val="single" w:sz="6" w:space="0" w:color="000000"/>
              <w:right w:val="single" w:sz="6" w:space="0" w:color="000000"/>
            </w:tcBorders>
          </w:tcPr>
          <w:p w14:paraId="5655FD9B" w14:textId="77777777" w:rsidR="00A5347B" w:rsidRPr="00AF0584" w:rsidRDefault="00E704AB" w:rsidP="00FA0F04">
            <w:pPr>
              <w:widowControl w:val="0"/>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240" w:lineRule="atLeast"/>
              <w:jc w:val="center"/>
              <w:rPr>
                <w:sz w:val="22"/>
                <w:szCs w:val="22"/>
              </w:rPr>
            </w:pPr>
            <w:r>
              <w:rPr>
                <w:sz w:val="22"/>
                <w:szCs w:val="22"/>
              </w:rPr>
              <w:t>N</w:t>
            </w:r>
          </w:p>
        </w:tc>
        <w:tc>
          <w:tcPr>
            <w:tcW w:w="1098" w:type="dxa"/>
            <w:tcBorders>
              <w:top w:val="single" w:sz="6" w:space="0" w:color="000000"/>
              <w:left w:val="single" w:sz="6" w:space="0" w:color="000000"/>
              <w:bottom w:val="single" w:sz="6" w:space="0" w:color="000000"/>
              <w:right w:val="single" w:sz="6" w:space="0" w:color="000000"/>
            </w:tcBorders>
          </w:tcPr>
          <w:p w14:paraId="3BEF0CE2" w14:textId="77777777" w:rsidR="00A5347B" w:rsidRPr="00FA337B" w:rsidRDefault="00A5347B" w:rsidP="005819B7">
            <w:pPr>
              <w:pStyle w:val="BodyText2"/>
              <w:widowControl w:val="0"/>
              <w:spacing w:line="240" w:lineRule="atLeast"/>
              <w:rPr>
                <w:sz w:val="22"/>
                <w:szCs w:val="22"/>
              </w:rPr>
            </w:pPr>
          </w:p>
        </w:tc>
        <w:tc>
          <w:tcPr>
            <w:tcW w:w="4410" w:type="dxa"/>
            <w:tcBorders>
              <w:top w:val="single" w:sz="6" w:space="0" w:color="000000"/>
              <w:left w:val="single" w:sz="6" w:space="0" w:color="000000"/>
              <w:bottom w:val="single" w:sz="6" w:space="0" w:color="000000"/>
              <w:right w:val="single" w:sz="6" w:space="0" w:color="000000"/>
            </w:tcBorders>
          </w:tcPr>
          <w:p w14:paraId="5CCE1151" w14:textId="77777777" w:rsidR="00E704AB" w:rsidRPr="00E704AB" w:rsidRDefault="00E704AB" w:rsidP="00E704AB">
            <w:pPr>
              <w:autoSpaceDE w:val="0"/>
              <w:autoSpaceDN w:val="0"/>
              <w:adjustRightInd w:val="0"/>
              <w:rPr>
                <w:sz w:val="22"/>
                <w:szCs w:val="22"/>
              </w:rPr>
            </w:pPr>
            <w:r w:rsidRPr="00E704AB">
              <w:rPr>
                <w:sz w:val="22"/>
                <w:szCs w:val="22"/>
              </w:rPr>
              <w:t>Not applicable. Hobbs does not manufacture,</w:t>
            </w:r>
          </w:p>
          <w:p w14:paraId="687B3ABF" w14:textId="3E8CBC9C" w:rsidR="00A5347B" w:rsidRPr="00CA283E" w:rsidRDefault="00E704AB" w:rsidP="009A3FC0">
            <w:pPr>
              <w:autoSpaceDE w:val="0"/>
              <w:autoSpaceDN w:val="0"/>
              <w:adjustRightInd w:val="0"/>
              <w:rPr>
                <w:sz w:val="22"/>
                <w:szCs w:val="22"/>
              </w:rPr>
            </w:pPr>
            <w:r w:rsidRPr="00E704AB">
              <w:rPr>
                <w:sz w:val="22"/>
                <w:szCs w:val="22"/>
              </w:rPr>
              <w:t>process, use, store, or otherwise handle regulated</w:t>
            </w:r>
            <w:r>
              <w:rPr>
                <w:sz w:val="22"/>
                <w:szCs w:val="22"/>
              </w:rPr>
              <w:t xml:space="preserve"> </w:t>
            </w:r>
            <w:r w:rsidRPr="00E704AB">
              <w:rPr>
                <w:sz w:val="22"/>
                <w:szCs w:val="22"/>
              </w:rPr>
              <w:t xml:space="preserve">substances in excess of the quantities specified in </w:t>
            </w:r>
            <w:r w:rsidR="009A3FC0" w:rsidRPr="00E704AB">
              <w:rPr>
                <w:sz w:val="22"/>
                <w:szCs w:val="22"/>
              </w:rPr>
              <w:t>§</w:t>
            </w:r>
            <w:r w:rsidRPr="00E704AB">
              <w:rPr>
                <w:sz w:val="22"/>
                <w:szCs w:val="22"/>
              </w:rPr>
              <w:t>68</w:t>
            </w:r>
            <w:r w:rsidR="009A3FC0">
              <w:rPr>
                <w:sz w:val="22"/>
                <w:szCs w:val="22"/>
              </w:rPr>
              <w:t>.130</w:t>
            </w:r>
            <w:r w:rsidRPr="00E704AB">
              <w:rPr>
                <w:sz w:val="22"/>
                <w:szCs w:val="22"/>
              </w:rPr>
              <w:t>.</w:t>
            </w:r>
          </w:p>
        </w:tc>
      </w:tr>
      <w:tr w:rsidR="00A5347B" w:rsidRPr="000C4C3B" w14:paraId="63D785D3" w14:textId="77777777" w:rsidTr="00A5347B">
        <w:tc>
          <w:tcPr>
            <w:tcW w:w="1710" w:type="dxa"/>
            <w:tcBorders>
              <w:top w:val="single" w:sz="6" w:space="0" w:color="000000"/>
              <w:left w:val="single" w:sz="6" w:space="0" w:color="000000"/>
              <w:bottom w:val="single" w:sz="6" w:space="0" w:color="000000"/>
              <w:right w:val="single" w:sz="6" w:space="0" w:color="000000"/>
            </w:tcBorders>
          </w:tcPr>
          <w:p w14:paraId="6DFBF035" w14:textId="77777777" w:rsidR="00A5347B" w:rsidRPr="00AF0584" w:rsidRDefault="00A5347B" w:rsidP="00FA0F04">
            <w:pPr>
              <w:widowControl w:val="0"/>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240" w:lineRule="atLeast"/>
              <w:rPr>
                <w:sz w:val="22"/>
                <w:szCs w:val="22"/>
              </w:rPr>
            </w:pPr>
            <w:r w:rsidRPr="00AF0584">
              <w:rPr>
                <w:sz w:val="22"/>
                <w:szCs w:val="22"/>
              </w:rPr>
              <w:t xml:space="preserve">40 CFR 70 </w:t>
            </w:r>
          </w:p>
        </w:tc>
        <w:tc>
          <w:tcPr>
            <w:tcW w:w="2700" w:type="dxa"/>
            <w:tcBorders>
              <w:top w:val="single" w:sz="6" w:space="0" w:color="000000"/>
              <w:left w:val="single" w:sz="6" w:space="0" w:color="000000"/>
              <w:bottom w:val="single" w:sz="6" w:space="0" w:color="000000"/>
              <w:right w:val="single" w:sz="6" w:space="0" w:color="000000"/>
            </w:tcBorders>
          </w:tcPr>
          <w:p w14:paraId="753B1B89" w14:textId="77777777" w:rsidR="00A5347B" w:rsidRPr="00AF0584" w:rsidRDefault="00A5347B" w:rsidP="00FA0F04">
            <w:pPr>
              <w:widowControl w:val="0"/>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240" w:lineRule="atLeast"/>
              <w:rPr>
                <w:sz w:val="22"/>
                <w:szCs w:val="22"/>
              </w:rPr>
            </w:pPr>
            <w:r w:rsidRPr="00AF0584">
              <w:rPr>
                <w:sz w:val="22"/>
                <w:szCs w:val="22"/>
              </w:rPr>
              <w:t>Title V- State Operating Permit Programs</w:t>
            </w:r>
          </w:p>
        </w:tc>
        <w:tc>
          <w:tcPr>
            <w:tcW w:w="972" w:type="dxa"/>
            <w:tcBorders>
              <w:top w:val="single" w:sz="6" w:space="0" w:color="000000"/>
              <w:left w:val="single" w:sz="6" w:space="0" w:color="000000"/>
              <w:bottom w:val="single" w:sz="6" w:space="0" w:color="000000"/>
              <w:right w:val="single" w:sz="6" w:space="0" w:color="000000"/>
            </w:tcBorders>
          </w:tcPr>
          <w:p w14:paraId="779C4164" w14:textId="77777777" w:rsidR="00A5347B" w:rsidRPr="00AF0584" w:rsidRDefault="00CE6C13" w:rsidP="00FA0F04">
            <w:pPr>
              <w:widowControl w:val="0"/>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240" w:lineRule="atLeast"/>
              <w:jc w:val="center"/>
              <w:rPr>
                <w:sz w:val="22"/>
                <w:szCs w:val="22"/>
              </w:rPr>
            </w:pPr>
            <w:r>
              <w:rPr>
                <w:sz w:val="22"/>
                <w:szCs w:val="22"/>
              </w:rPr>
              <w:t>N/A</w:t>
            </w:r>
          </w:p>
        </w:tc>
        <w:tc>
          <w:tcPr>
            <w:tcW w:w="1098" w:type="dxa"/>
            <w:tcBorders>
              <w:top w:val="single" w:sz="6" w:space="0" w:color="000000"/>
              <w:left w:val="single" w:sz="6" w:space="0" w:color="000000"/>
              <w:bottom w:val="single" w:sz="6" w:space="0" w:color="000000"/>
              <w:right w:val="single" w:sz="6" w:space="0" w:color="000000"/>
            </w:tcBorders>
          </w:tcPr>
          <w:p w14:paraId="40858573" w14:textId="77777777" w:rsidR="00A5347B" w:rsidRDefault="00A5347B" w:rsidP="00FA0F04">
            <w:pPr>
              <w:pStyle w:val="BodyText2"/>
              <w:widowControl w:val="0"/>
              <w:spacing w:line="240" w:lineRule="atLeast"/>
              <w:rPr>
                <w:sz w:val="22"/>
                <w:szCs w:val="22"/>
              </w:rPr>
            </w:pPr>
          </w:p>
        </w:tc>
        <w:tc>
          <w:tcPr>
            <w:tcW w:w="4410" w:type="dxa"/>
            <w:tcBorders>
              <w:top w:val="single" w:sz="6" w:space="0" w:color="000000"/>
              <w:left w:val="single" w:sz="6" w:space="0" w:color="000000"/>
              <w:bottom w:val="single" w:sz="6" w:space="0" w:color="000000"/>
              <w:right w:val="single" w:sz="6" w:space="0" w:color="000000"/>
            </w:tcBorders>
          </w:tcPr>
          <w:p w14:paraId="5D5D6AD0" w14:textId="77777777" w:rsidR="00A5347B" w:rsidRPr="00FA337B" w:rsidRDefault="00A5347B" w:rsidP="00FA0F04">
            <w:pPr>
              <w:pStyle w:val="BodyText2"/>
              <w:widowControl w:val="0"/>
              <w:spacing w:line="240" w:lineRule="atLeast"/>
              <w:rPr>
                <w:sz w:val="22"/>
                <w:szCs w:val="22"/>
              </w:rPr>
            </w:pPr>
            <w:r>
              <w:rPr>
                <w:sz w:val="22"/>
                <w:szCs w:val="22"/>
              </w:rPr>
              <w:t xml:space="preserve">Operating Permit Program – is not applicable – </w:t>
            </w:r>
            <w:smartTag w:uri="urn:schemas-microsoft-com:office:smarttags" w:element="State">
              <w:smartTag w:uri="urn:schemas-microsoft-com:office:smarttags" w:element="place">
                <w:smartTag w:uri="urn:schemas-microsoft-com:office:smarttags" w:element="PlaceName">
                  <w:r>
                    <w:rPr>
                      <w:sz w:val="22"/>
                      <w:szCs w:val="22"/>
                    </w:rPr>
                    <w:t>New Mexico</w:t>
                  </w:r>
                </w:smartTag>
              </w:smartTag>
              <w:r>
                <w:rPr>
                  <w:sz w:val="22"/>
                  <w:szCs w:val="22"/>
                </w:rPr>
                <w:t xml:space="preserve"> </w:t>
              </w:r>
              <w:smartTag w:uri="urn:schemas-microsoft-com:office:smarttags" w:element="State">
                <w:smartTag w:uri="urn:schemas-microsoft-com:office:smarttags" w:element="PlaceType">
                  <w:r>
                    <w:rPr>
                      <w:sz w:val="22"/>
                      <w:szCs w:val="22"/>
                    </w:rPr>
                    <w:t>State</w:t>
                  </w:r>
                </w:smartTag>
              </w:smartTag>
            </w:smartTag>
            <w:r>
              <w:rPr>
                <w:sz w:val="22"/>
                <w:szCs w:val="22"/>
              </w:rPr>
              <w:t xml:space="preserve"> has full delegated authority and Title V is administered under 20.2.70 NMAC.</w:t>
            </w:r>
          </w:p>
        </w:tc>
      </w:tr>
      <w:tr w:rsidR="00A5347B" w:rsidRPr="000C4C3B" w14:paraId="179DE279" w14:textId="77777777" w:rsidTr="00A5347B">
        <w:tc>
          <w:tcPr>
            <w:tcW w:w="1710" w:type="dxa"/>
            <w:tcBorders>
              <w:top w:val="single" w:sz="6" w:space="0" w:color="000000"/>
              <w:left w:val="single" w:sz="6" w:space="0" w:color="000000"/>
              <w:bottom w:val="single" w:sz="6" w:space="0" w:color="000000"/>
              <w:right w:val="single" w:sz="6" w:space="0" w:color="000000"/>
            </w:tcBorders>
          </w:tcPr>
          <w:p w14:paraId="5E35EECE" w14:textId="77777777" w:rsidR="00A5347B" w:rsidRPr="00AF0584" w:rsidRDefault="00A5347B" w:rsidP="00FA0F04">
            <w:pPr>
              <w:widowControl w:val="0"/>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240" w:lineRule="atLeast"/>
              <w:rPr>
                <w:sz w:val="22"/>
                <w:szCs w:val="22"/>
              </w:rPr>
            </w:pPr>
            <w:r w:rsidRPr="00AF0584">
              <w:rPr>
                <w:sz w:val="22"/>
                <w:szCs w:val="22"/>
              </w:rPr>
              <w:t>40 CFR 72</w:t>
            </w:r>
          </w:p>
        </w:tc>
        <w:tc>
          <w:tcPr>
            <w:tcW w:w="2700" w:type="dxa"/>
            <w:tcBorders>
              <w:top w:val="single" w:sz="6" w:space="0" w:color="000000"/>
              <w:left w:val="single" w:sz="6" w:space="0" w:color="000000"/>
              <w:bottom w:val="single" w:sz="6" w:space="0" w:color="000000"/>
              <w:right w:val="single" w:sz="6" w:space="0" w:color="000000"/>
            </w:tcBorders>
          </w:tcPr>
          <w:p w14:paraId="5617380A" w14:textId="77777777" w:rsidR="00A5347B" w:rsidRPr="00AF0584" w:rsidRDefault="00A5347B" w:rsidP="00FA0F04">
            <w:pPr>
              <w:widowControl w:val="0"/>
              <w:spacing w:after="58" w:line="240" w:lineRule="atLeast"/>
              <w:rPr>
                <w:sz w:val="22"/>
                <w:szCs w:val="22"/>
              </w:rPr>
            </w:pPr>
            <w:r w:rsidRPr="00AF0584">
              <w:rPr>
                <w:sz w:val="22"/>
                <w:szCs w:val="22"/>
              </w:rPr>
              <w:t>Title IV – Acid Rain</w:t>
            </w:r>
          </w:p>
          <w:p w14:paraId="53CDC45A" w14:textId="77777777" w:rsidR="00A5347B" w:rsidRPr="00AF0584" w:rsidRDefault="00A5347B" w:rsidP="00FA0F04">
            <w:pPr>
              <w:widowControl w:val="0"/>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240" w:lineRule="atLeast"/>
              <w:rPr>
                <w:sz w:val="22"/>
                <w:szCs w:val="22"/>
              </w:rPr>
            </w:pPr>
          </w:p>
        </w:tc>
        <w:tc>
          <w:tcPr>
            <w:tcW w:w="972" w:type="dxa"/>
            <w:tcBorders>
              <w:top w:val="single" w:sz="6" w:space="0" w:color="000000"/>
              <w:left w:val="single" w:sz="6" w:space="0" w:color="000000"/>
              <w:bottom w:val="single" w:sz="6" w:space="0" w:color="000000"/>
              <w:right w:val="single" w:sz="6" w:space="0" w:color="000000"/>
            </w:tcBorders>
          </w:tcPr>
          <w:p w14:paraId="17F2A00B" w14:textId="77777777" w:rsidR="00A5347B" w:rsidRPr="00AF0584" w:rsidRDefault="003F08FF" w:rsidP="00FA0F04">
            <w:pPr>
              <w:widowControl w:val="0"/>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240" w:lineRule="atLeast"/>
              <w:jc w:val="center"/>
              <w:rPr>
                <w:sz w:val="22"/>
                <w:szCs w:val="22"/>
              </w:rPr>
            </w:pPr>
            <w:r>
              <w:rPr>
                <w:sz w:val="22"/>
                <w:szCs w:val="22"/>
              </w:rPr>
              <w:t>Y</w:t>
            </w:r>
          </w:p>
        </w:tc>
        <w:tc>
          <w:tcPr>
            <w:tcW w:w="1098" w:type="dxa"/>
            <w:tcBorders>
              <w:top w:val="single" w:sz="6" w:space="0" w:color="000000"/>
              <w:left w:val="single" w:sz="6" w:space="0" w:color="000000"/>
              <w:bottom w:val="single" w:sz="6" w:space="0" w:color="000000"/>
              <w:right w:val="single" w:sz="6" w:space="0" w:color="000000"/>
            </w:tcBorders>
          </w:tcPr>
          <w:p w14:paraId="51F27653" w14:textId="77777777" w:rsidR="00A5347B" w:rsidRPr="00FA337B" w:rsidRDefault="003F08FF" w:rsidP="00FA0F04">
            <w:pPr>
              <w:pStyle w:val="BodyText2"/>
              <w:widowControl w:val="0"/>
              <w:spacing w:line="240" w:lineRule="atLeast"/>
              <w:rPr>
                <w:sz w:val="22"/>
                <w:szCs w:val="22"/>
              </w:rPr>
            </w:pPr>
            <w:r>
              <w:rPr>
                <w:sz w:val="22"/>
                <w:szCs w:val="22"/>
              </w:rPr>
              <w:t>HOBB-1/DB-1 &amp; HOBB-2/DB-2</w:t>
            </w:r>
          </w:p>
        </w:tc>
        <w:tc>
          <w:tcPr>
            <w:tcW w:w="4410" w:type="dxa"/>
            <w:tcBorders>
              <w:top w:val="single" w:sz="6" w:space="0" w:color="000000"/>
              <w:left w:val="single" w:sz="6" w:space="0" w:color="000000"/>
              <w:bottom w:val="single" w:sz="6" w:space="0" w:color="000000"/>
              <w:right w:val="single" w:sz="6" w:space="0" w:color="000000"/>
            </w:tcBorders>
          </w:tcPr>
          <w:p w14:paraId="5DB22E0F" w14:textId="77777777" w:rsidR="00A5347B" w:rsidRPr="00FA337B" w:rsidRDefault="00A5347B" w:rsidP="00FA0F04">
            <w:pPr>
              <w:pStyle w:val="BodyText2"/>
              <w:widowControl w:val="0"/>
              <w:spacing w:line="240" w:lineRule="atLeast"/>
              <w:rPr>
                <w:rFonts w:ascii="Arial" w:hAnsi="Arial" w:cs="Arial"/>
                <w:sz w:val="22"/>
                <w:szCs w:val="22"/>
              </w:rPr>
            </w:pPr>
            <w:r w:rsidRPr="00FA337B">
              <w:rPr>
                <w:sz w:val="22"/>
                <w:szCs w:val="22"/>
              </w:rPr>
              <w:t>(a) Each of the following units shall be an affected unit, and any source that includes such a unit shall be an affected source, subject to the requirements of the Acid Rain Program: (1) A unit listed in table 1 of §73.10(a) of this chapter.(2) A unit that is listed in table 2 or 3 of §73.10 of this chapter and any other existing utility unit, except a unit under paragraph (b) of this section</w:t>
            </w:r>
          </w:p>
        </w:tc>
      </w:tr>
      <w:tr w:rsidR="00A5347B" w:rsidRPr="000C4C3B" w14:paraId="52D05E35" w14:textId="77777777" w:rsidTr="00A5347B">
        <w:tc>
          <w:tcPr>
            <w:tcW w:w="1710" w:type="dxa"/>
            <w:tcBorders>
              <w:top w:val="single" w:sz="6" w:space="0" w:color="000000"/>
              <w:left w:val="single" w:sz="6" w:space="0" w:color="000000"/>
              <w:bottom w:val="single" w:sz="6" w:space="0" w:color="000000"/>
              <w:right w:val="single" w:sz="6" w:space="0" w:color="000000"/>
            </w:tcBorders>
          </w:tcPr>
          <w:p w14:paraId="1F05FA73" w14:textId="77777777" w:rsidR="00A5347B" w:rsidRPr="00AF0584" w:rsidRDefault="00A5347B" w:rsidP="00FA0F04">
            <w:pPr>
              <w:widowControl w:val="0"/>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240" w:lineRule="atLeast"/>
              <w:rPr>
                <w:sz w:val="22"/>
                <w:szCs w:val="22"/>
              </w:rPr>
            </w:pPr>
            <w:r w:rsidRPr="00AF0584">
              <w:rPr>
                <w:sz w:val="22"/>
                <w:szCs w:val="22"/>
              </w:rPr>
              <w:t>40 CFR 73</w:t>
            </w:r>
          </w:p>
        </w:tc>
        <w:tc>
          <w:tcPr>
            <w:tcW w:w="2700" w:type="dxa"/>
            <w:tcBorders>
              <w:top w:val="single" w:sz="6" w:space="0" w:color="000000"/>
              <w:left w:val="single" w:sz="6" w:space="0" w:color="000000"/>
              <w:bottom w:val="single" w:sz="6" w:space="0" w:color="000000"/>
              <w:right w:val="single" w:sz="6" w:space="0" w:color="000000"/>
            </w:tcBorders>
          </w:tcPr>
          <w:p w14:paraId="4365D3FC" w14:textId="77777777" w:rsidR="00A5347B" w:rsidRPr="00AF0584" w:rsidRDefault="00A5347B" w:rsidP="00FA0F04">
            <w:pPr>
              <w:widowControl w:val="0"/>
              <w:spacing w:after="58" w:line="240" w:lineRule="atLeast"/>
              <w:rPr>
                <w:sz w:val="22"/>
                <w:szCs w:val="22"/>
              </w:rPr>
            </w:pPr>
            <w:r w:rsidRPr="00AF0584">
              <w:rPr>
                <w:sz w:val="22"/>
                <w:szCs w:val="22"/>
              </w:rPr>
              <w:t>Title IV – Acid Rain</w:t>
            </w:r>
          </w:p>
          <w:p w14:paraId="34824BF4" w14:textId="77777777" w:rsidR="00A5347B" w:rsidRPr="00AF0584" w:rsidRDefault="00A5347B" w:rsidP="00FA0F04">
            <w:pPr>
              <w:widowControl w:val="0"/>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240" w:lineRule="atLeast"/>
              <w:rPr>
                <w:sz w:val="22"/>
                <w:szCs w:val="22"/>
              </w:rPr>
            </w:pPr>
            <w:r w:rsidRPr="00AF0584">
              <w:rPr>
                <w:sz w:val="22"/>
                <w:szCs w:val="22"/>
              </w:rPr>
              <w:t>Sulfur Dioxide Allowance Emissions</w:t>
            </w:r>
          </w:p>
        </w:tc>
        <w:tc>
          <w:tcPr>
            <w:tcW w:w="972" w:type="dxa"/>
            <w:tcBorders>
              <w:top w:val="single" w:sz="6" w:space="0" w:color="000000"/>
              <w:left w:val="single" w:sz="6" w:space="0" w:color="000000"/>
              <w:bottom w:val="single" w:sz="6" w:space="0" w:color="000000"/>
              <w:right w:val="single" w:sz="6" w:space="0" w:color="000000"/>
            </w:tcBorders>
          </w:tcPr>
          <w:p w14:paraId="05A8AE94" w14:textId="77777777" w:rsidR="00A5347B" w:rsidRPr="00AF0584" w:rsidRDefault="003F08FF" w:rsidP="00FA0F04">
            <w:pPr>
              <w:widowControl w:val="0"/>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240" w:lineRule="atLeast"/>
              <w:jc w:val="center"/>
              <w:rPr>
                <w:sz w:val="22"/>
                <w:szCs w:val="22"/>
              </w:rPr>
            </w:pPr>
            <w:r>
              <w:rPr>
                <w:sz w:val="22"/>
                <w:szCs w:val="22"/>
              </w:rPr>
              <w:t>Y</w:t>
            </w:r>
          </w:p>
        </w:tc>
        <w:tc>
          <w:tcPr>
            <w:tcW w:w="1098" w:type="dxa"/>
            <w:tcBorders>
              <w:top w:val="single" w:sz="6" w:space="0" w:color="000000"/>
              <w:left w:val="single" w:sz="6" w:space="0" w:color="000000"/>
              <w:bottom w:val="single" w:sz="6" w:space="0" w:color="000000"/>
              <w:right w:val="single" w:sz="6" w:space="0" w:color="000000"/>
            </w:tcBorders>
          </w:tcPr>
          <w:p w14:paraId="333E1C90" w14:textId="77777777" w:rsidR="00A5347B" w:rsidRPr="00AF0584" w:rsidRDefault="003F08FF" w:rsidP="00FA0F04">
            <w:pPr>
              <w:widowControl w:val="0"/>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240" w:lineRule="atLeast"/>
              <w:rPr>
                <w:sz w:val="22"/>
                <w:szCs w:val="22"/>
              </w:rPr>
            </w:pPr>
            <w:r>
              <w:rPr>
                <w:sz w:val="22"/>
                <w:szCs w:val="22"/>
              </w:rPr>
              <w:t>HOBB-1/DB-1 &amp; HOBB-2/DB-2</w:t>
            </w:r>
          </w:p>
        </w:tc>
        <w:tc>
          <w:tcPr>
            <w:tcW w:w="4410" w:type="dxa"/>
            <w:tcBorders>
              <w:top w:val="single" w:sz="6" w:space="0" w:color="000000"/>
              <w:left w:val="single" w:sz="6" w:space="0" w:color="000000"/>
              <w:bottom w:val="single" w:sz="6" w:space="0" w:color="000000"/>
              <w:right w:val="single" w:sz="6" w:space="0" w:color="000000"/>
            </w:tcBorders>
          </w:tcPr>
          <w:p w14:paraId="70DA8E03" w14:textId="77777777" w:rsidR="00A5347B" w:rsidRPr="00AF0584" w:rsidRDefault="00A5347B" w:rsidP="00FA0F04">
            <w:pPr>
              <w:widowControl w:val="0"/>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240" w:lineRule="atLeast"/>
              <w:rPr>
                <w:sz w:val="22"/>
                <w:szCs w:val="22"/>
              </w:rPr>
            </w:pPr>
            <w:r w:rsidRPr="00AF0584">
              <w:rPr>
                <w:sz w:val="22"/>
                <w:szCs w:val="22"/>
              </w:rPr>
              <w:t>The following parties shall be subject to the provisions of this part:</w:t>
            </w:r>
          </w:p>
          <w:p w14:paraId="0B86F0CB" w14:textId="77777777" w:rsidR="00A5347B" w:rsidRPr="00AF0584" w:rsidRDefault="00A5347B" w:rsidP="00FA0F04">
            <w:pPr>
              <w:widowControl w:val="0"/>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240" w:lineRule="atLeast"/>
              <w:rPr>
                <w:sz w:val="22"/>
                <w:szCs w:val="22"/>
              </w:rPr>
            </w:pPr>
            <w:r w:rsidRPr="00AF0584">
              <w:rPr>
                <w:sz w:val="22"/>
                <w:szCs w:val="22"/>
              </w:rPr>
              <w:t>(a) Owners, operators, and designated representatives of affected sources and affected units pursuant to §72.6 of this chapter;</w:t>
            </w:r>
            <w:r>
              <w:rPr>
                <w:sz w:val="22"/>
                <w:szCs w:val="22"/>
              </w:rPr>
              <w:t xml:space="preserve"> </w:t>
            </w:r>
            <w:r w:rsidRPr="00AF0584">
              <w:rPr>
                <w:sz w:val="22"/>
                <w:szCs w:val="22"/>
              </w:rPr>
              <w:t xml:space="preserve">(b) Any new independent power producer as defined in section 416 of the Act and §72.2 of this chapter, except as provided in section 405(g)(6) of the Act; (c) Any owner of an affected unit who may </w:t>
            </w:r>
            <w:r w:rsidRPr="00AF0584">
              <w:rPr>
                <w:sz w:val="22"/>
                <w:szCs w:val="22"/>
              </w:rPr>
              <w:lastRenderedPageBreak/>
              <w:t>apply to receive allowances under the Energy Conservation and Renewable Energy Reserve Program established in accordance with section 404(f) of the Act;(d) Any small diesel refinery as defined in §72.2 of this chapter, and (e) Any other person, as defined in §72.2 of this chapter, who chooses to purchase, hold, or transfer allowances as provided in section 403(b) of the Act</w:t>
            </w:r>
          </w:p>
        </w:tc>
      </w:tr>
      <w:tr w:rsidR="00E74FCE" w:rsidRPr="000C4C3B" w14:paraId="222F1F71" w14:textId="77777777" w:rsidTr="00713FAC">
        <w:tc>
          <w:tcPr>
            <w:tcW w:w="1710" w:type="dxa"/>
            <w:tcBorders>
              <w:top w:val="single" w:sz="6" w:space="0" w:color="000000"/>
              <w:left w:val="single" w:sz="6" w:space="0" w:color="000000"/>
              <w:bottom w:val="single" w:sz="6" w:space="0" w:color="000000"/>
              <w:right w:val="single" w:sz="6" w:space="0" w:color="000000"/>
            </w:tcBorders>
            <w:vAlign w:val="center"/>
          </w:tcPr>
          <w:p w14:paraId="21EE892B" w14:textId="186FD69F" w:rsidR="00E74FCE" w:rsidRPr="00E74FCE" w:rsidRDefault="00E74FCE" w:rsidP="00E74FCE">
            <w:pPr>
              <w:spacing w:before="30" w:after="30"/>
              <w:rPr>
                <w:sz w:val="22"/>
                <w:szCs w:val="22"/>
              </w:rPr>
            </w:pPr>
            <w:r w:rsidRPr="00E74FCE">
              <w:rPr>
                <w:sz w:val="22"/>
                <w:szCs w:val="22"/>
              </w:rPr>
              <w:lastRenderedPageBreak/>
              <w:t>Title IV – Acid Rain</w:t>
            </w:r>
          </w:p>
          <w:p w14:paraId="4DAEDD97" w14:textId="5711043F" w:rsidR="00E74FCE" w:rsidRPr="00AF0584" w:rsidRDefault="00E74FCE" w:rsidP="00E74FCE">
            <w:pPr>
              <w:widowControl w:val="0"/>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240" w:lineRule="atLeast"/>
              <w:rPr>
                <w:sz w:val="22"/>
                <w:szCs w:val="22"/>
              </w:rPr>
            </w:pPr>
            <w:r w:rsidRPr="00E74FCE">
              <w:rPr>
                <w:sz w:val="22"/>
                <w:szCs w:val="22"/>
              </w:rPr>
              <w:t>40 CFR 75</w:t>
            </w:r>
          </w:p>
        </w:tc>
        <w:tc>
          <w:tcPr>
            <w:tcW w:w="2700" w:type="dxa"/>
            <w:tcBorders>
              <w:top w:val="single" w:sz="6" w:space="0" w:color="000000"/>
              <w:left w:val="single" w:sz="6" w:space="0" w:color="000000"/>
              <w:bottom w:val="single" w:sz="6" w:space="0" w:color="000000"/>
              <w:right w:val="single" w:sz="6" w:space="0" w:color="000000"/>
            </w:tcBorders>
            <w:vAlign w:val="center"/>
          </w:tcPr>
          <w:p w14:paraId="4877D12E" w14:textId="42DCC59F" w:rsidR="00E74FCE" w:rsidRPr="00AF0584" w:rsidRDefault="00E74FCE" w:rsidP="00E74FCE">
            <w:pPr>
              <w:widowControl w:val="0"/>
              <w:spacing w:after="58" w:line="240" w:lineRule="atLeast"/>
              <w:rPr>
                <w:sz w:val="22"/>
                <w:szCs w:val="22"/>
              </w:rPr>
            </w:pPr>
            <w:r w:rsidRPr="00E74FCE">
              <w:rPr>
                <w:sz w:val="22"/>
                <w:szCs w:val="22"/>
              </w:rPr>
              <w:t>Continues Emission Monitoring (CEM)</w:t>
            </w:r>
          </w:p>
        </w:tc>
        <w:tc>
          <w:tcPr>
            <w:tcW w:w="972" w:type="dxa"/>
            <w:tcBorders>
              <w:top w:val="single" w:sz="6" w:space="0" w:color="000000"/>
              <w:left w:val="single" w:sz="6" w:space="0" w:color="000000"/>
              <w:bottom w:val="single" w:sz="6" w:space="0" w:color="000000"/>
              <w:right w:val="single" w:sz="6" w:space="0" w:color="000000"/>
            </w:tcBorders>
          </w:tcPr>
          <w:p w14:paraId="37A0BE0F" w14:textId="5892CB7F" w:rsidR="00E74FCE" w:rsidRDefault="00E74FCE" w:rsidP="00E74FCE">
            <w:pPr>
              <w:widowControl w:val="0"/>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240" w:lineRule="atLeast"/>
              <w:jc w:val="center"/>
              <w:rPr>
                <w:sz w:val="22"/>
                <w:szCs w:val="22"/>
              </w:rPr>
            </w:pPr>
            <w:r>
              <w:rPr>
                <w:sz w:val="22"/>
                <w:szCs w:val="22"/>
              </w:rPr>
              <w:t>Y</w:t>
            </w:r>
          </w:p>
        </w:tc>
        <w:tc>
          <w:tcPr>
            <w:tcW w:w="1098" w:type="dxa"/>
            <w:tcBorders>
              <w:top w:val="single" w:sz="6" w:space="0" w:color="000000"/>
              <w:left w:val="single" w:sz="6" w:space="0" w:color="000000"/>
              <w:bottom w:val="single" w:sz="6" w:space="0" w:color="000000"/>
              <w:right w:val="single" w:sz="6" w:space="0" w:color="000000"/>
            </w:tcBorders>
          </w:tcPr>
          <w:p w14:paraId="2CA811F4" w14:textId="316E9E86" w:rsidR="00E74FCE" w:rsidRDefault="00E74FCE" w:rsidP="00E74FCE">
            <w:pPr>
              <w:widowControl w:val="0"/>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240" w:lineRule="atLeast"/>
              <w:rPr>
                <w:sz w:val="22"/>
                <w:szCs w:val="22"/>
              </w:rPr>
            </w:pPr>
            <w:r w:rsidRPr="00E74FCE">
              <w:rPr>
                <w:sz w:val="22"/>
                <w:szCs w:val="22"/>
              </w:rPr>
              <w:t>HOBB-1/DB-1 &amp; HOBB-2/DB-2</w:t>
            </w:r>
          </w:p>
        </w:tc>
        <w:tc>
          <w:tcPr>
            <w:tcW w:w="4410" w:type="dxa"/>
            <w:tcBorders>
              <w:top w:val="single" w:sz="6" w:space="0" w:color="000000"/>
              <w:left w:val="single" w:sz="6" w:space="0" w:color="000000"/>
              <w:bottom w:val="single" w:sz="6" w:space="0" w:color="000000"/>
              <w:right w:val="single" w:sz="6" w:space="0" w:color="000000"/>
            </w:tcBorders>
          </w:tcPr>
          <w:p w14:paraId="46C58293" w14:textId="21A94709" w:rsidR="00E74FCE" w:rsidRPr="00AF0584" w:rsidRDefault="00E74FCE" w:rsidP="00E74FCE">
            <w:pPr>
              <w:widowControl w:val="0"/>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240" w:lineRule="atLeast"/>
              <w:rPr>
                <w:sz w:val="22"/>
                <w:szCs w:val="22"/>
              </w:rPr>
            </w:pPr>
            <w:r w:rsidRPr="00E74FCE">
              <w:rPr>
                <w:sz w:val="22"/>
                <w:szCs w:val="22"/>
              </w:rPr>
              <w:t>Hobbs CTG/HRSG exhaust stack is equipped with a CEMS for NOx, CO and O2.</w:t>
            </w:r>
          </w:p>
        </w:tc>
      </w:tr>
      <w:tr w:rsidR="00A5347B" w:rsidRPr="000C4C3B" w14:paraId="4F385CB4" w14:textId="77777777" w:rsidTr="00A5347B">
        <w:tc>
          <w:tcPr>
            <w:tcW w:w="1710" w:type="dxa"/>
            <w:tcBorders>
              <w:top w:val="single" w:sz="6" w:space="0" w:color="000000"/>
              <w:left w:val="single" w:sz="6" w:space="0" w:color="000000"/>
              <w:bottom w:val="single" w:sz="6" w:space="0" w:color="000000"/>
              <w:right w:val="single" w:sz="6" w:space="0" w:color="000000"/>
            </w:tcBorders>
          </w:tcPr>
          <w:p w14:paraId="1EBAF584" w14:textId="77777777" w:rsidR="00A5347B" w:rsidRPr="00AF0584" w:rsidRDefault="00A5347B" w:rsidP="00FA0F04">
            <w:pPr>
              <w:widowControl w:val="0"/>
              <w:spacing w:after="58" w:line="240" w:lineRule="atLeast"/>
              <w:rPr>
                <w:sz w:val="22"/>
                <w:szCs w:val="22"/>
              </w:rPr>
            </w:pPr>
            <w:r w:rsidRPr="00AF0584">
              <w:rPr>
                <w:sz w:val="22"/>
                <w:szCs w:val="22"/>
              </w:rPr>
              <w:t>Title IV – Acid Rain</w:t>
            </w:r>
          </w:p>
          <w:p w14:paraId="05698FC4" w14:textId="77777777" w:rsidR="00A5347B" w:rsidRPr="00AF0584" w:rsidRDefault="00A5347B" w:rsidP="00FA0F04">
            <w:pPr>
              <w:widowControl w:val="0"/>
              <w:spacing w:after="58" w:line="240" w:lineRule="atLeast"/>
              <w:rPr>
                <w:sz w:val="22"/>
                <w:szCs w:val="22"/>
              </w:rPr>
            </w:pPr>
            <w:r w:rsidRPr="00AF0584">
              <w:rPr>
                <w:sz w:val="22"/>
                <w:szCs w:val="22"/>
              </w:rPr>
              <w:t>40 CFR 76</w:t>
            </w:r>
          </w:p>
        </w:tc>
        <w:tc>
          <w:tcPr>
            <w:tcW w:w="2700" w:type="dxa"/>
            <w:tcBorders>
              <w:top w:val="single" w:sz="6" w:space="0" w:color="000000"/>
              <w:left w:val="single" w:sz="6" w:space="0" w:color="000000"/>
              <w:bottom w:val="single" w:sz="6" w:space="0" w:color="000000"/>
              <w:right w:val="single" w:sz="6" w:space="0" w:color="000000"/>
            </w:tcBorders>
          </w:tcPr>
          <w:p w14:paraId="3DBCF844" w14:textId="77777777" w:rsidR="00A5347B" w:rsidRPr="00AF0584" w:rsidRDefault="00A5347B" w:rsidP="00FA0F04">
            <w:pPr>
              <w:widowControl w:val="0"/>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240" w:lineRule="atLeast"/>
              <w:rPr>
                <w:sz w:val="22"/>
                <w:szCs w:val="22"/>
              </w:rPr>
            </w:pPr>
            <w:r w:rsidRPr="00AF0584">
              <w:rPr>
                <w:sz w:val="22"/>
                <w:szCs w:val="22"/>
              </w:rPr>
              <w:t>Acid Rains Nitrogen Oxides Emission Reduction Program</w:t>
            </w:r>
          </w:p>
        </w:tc>
        <w:tc>
          <w:tcPr>
            <w:tcW w:w="972" w:type="dxa"/>
            <w:tcBorders>
              <w:top w:val="single" w:sz="6" w:space="0" w:color="000000"/>
              <w:left w:val="single" w:sz="6" w:space="0" w:color="000000"/>
              <w:bottom w:val="single" w:sz="6" w:space="0" w:color="000000"/>
              <w:right w:val="single" w:sz="6" w:space="0" w:color="000000"/>
            </w:tcBorders>
          </w:tcPr>
          <w:p w14:paraId="158D2D09" w14:textId="77777777" w:rsidR="00A5347B" w:rsidRPr="00AF0584" w:rsidRDefault="003F08FF" w:rsidP="00FA0F04">
            <w:pPr>
              <w:widowControl w:val="0"/>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240" w:lineRule="atLeast"/>
              <w:jc w:val="center"/>
              <w:rPr>
                <w:sz w:val="22"/>
                <w:szCs w:val="22"/>
              </w:rPr>
            </w:pPr>
            <w:r>
              <w:rPr>
                <w:sz w:val="22"/>
                <w:szCs w:val="22"/>
              </w:rPr>
              <w:t>N</w:t>
            </w:r>
          </w:p>
        </w:tc>
        <w:tc>
          <w:tcPr>
            <w:tcW w:w="1098" w:type="dxa"/>
            <w:tcBorders>
              <w:top w:val="single" w:sz="6" w:space="0" w:color="000000"/>
              <w:left w:val="single" w:sz="6" w:space="0" w:color="000000"/>
              <w:bottom w:val="single" w:sz="6" w:space="0" w:color="000000"/>
              <w:right w:val="single" w:sz="6" w:space="0" w:color="000000"/>
            </w:tcBorders>
          </w:tcPr>
          <w:p w14:paraId="64056E0F" w14:textId="77777777" w:rsidR="00A5347B" w:rsidRPr="00AF0584" w:rsidRDefault="00A5347B" w:rsidP="00FA0F04">
            <w:pPr>
              <w:pStyle w:val="BodyText2"/>
              <w:widowControl w:val="0"/>
              <w:spacing w:line="240" w:lineRule="atLeast"/>
              <w:rPr>
                <w:sz w:val="22"/>
                <w:szCs w:val="22"/>
              </w:rPr>
            </w:pPr>
          </w:p>
        </w:tc>
        <w:tc>
          <w:tcPr>
            <w:tcW w:w="4410" w:type="dxa"/>
            <w:tcBorders>
              <w:top w:val="single" w:sz="6" w:space="0" w:color="000000"/>
              <w:left w:val="single" w:sz="6" w:space="0" w:color="000000"/>
              <w:bottom w:val="single" w:sz="6" w:space="0" w:color="000000"/>
              <w:right w:val="single" w:sz="6" w:space="0" w:color="000000"/>
            </w:tcBorders>
          </w:tcPr>
          <w:p w14:paraId="3F5C33B4" w14:textId="77777777" w:rsidR="00A5347B" w:rsidRPr="00AF0584" w:rsidRDefault="003F08FF" w:rsidP="00FA0F04">
            <w:pPr>
              <w:pStyle w:val="BodyText2"/>
              <w:widowControl w:val="0"/>
              <w:spacing w:line="240" w:lineRule="atLeast"/>
              <w:rPr>
                <w:sz w:val="22"/>
                <w:szCs w:val="22"/>
              </w:rPr>
            </w:pPr>
            <w:r>
              <w:rPr>
                <w:sz w:val="22"/>
                <w:szCs w:val="22"/>
              </w:rPr>
              <w:t>Facility does not burn coal and is thus not subject to this regulation.</w:t>
            </w:r>
          </w:p>
        </w:tc>
      </w:tr>
      <w:tr w:rsidR="00A5347B" w:rsidRPr="000C4C3B" w14:paraId="7419EAEE" w14:textId="77777777" w:rsidTr="00A5347B">
        <w:tc>
          <w:tcPr>
            <w:tcW w:w="1710" w:type="dxa"/>
            <w:tcBorders>
              <w:top w:val="single" w:sz="6" w:space="0" w:color="000000"/>
              <w:left w:val="single" w:sz="6" w:space="0" w:color="000000"/>
              <w:bottom w:val="single" w:sz="6" w:space="0" w:color="000000"/>
              <w:right w:val="single" w:sz="6" w:space="0" w:color="000000"/>
            </w:tcBorders>
          </w:tcPr>
          <w:p w14:paraId="404936D7" w14:textId="77777777" w:rsidR="00A5347B" w:rsidRPr="00AF0584" w:rsidRDefault="00A5347B" w:rsidP="00FA0F04">
            <w:pPr>
              <w:widowControl w:val="0"/>
              <w:spacing w:after="58" w:line="240" w:lineRule="atLeast"/>
              <w:rPr>
                <w:sz w:val="22"/>
                <w:szCs w:val="22"/>
              </w:rPr>
            </w:pPr>
            <w:r w:rsidRPr="00AF0584">
              <w:rPr>
                <w:sz w:val="22"/>
                <w:szCs w:val="22"/>
              </w:rPr>
              <w:t>Title VI –</w:t>
            </w:r>
          </w:p>
          <w:p w14:paraId="53C99A97" w14:textId="77777777" w:rsidR="00A5347B" w:rsidRPr="00AF0584" w:rsidRDefault="00A5347B" w:rsidP="00FA0F04">
            <w:pPr>
              <w:widowControl w:val="0"/>
              <w:spacing w:after="58" w:line="240" w:lineRule="atLeast"/>
              <w:rPr>
                <w:sz w:val="22"/>
                <w:szCs w:val="22"/>
              </w:rPr>
            </w:pPr>
            <w:r w:rsidRPr="00AF0584">
              <w:rPr>
                <w:sz w:val="22"/>
                <w:szCs w:val="22"/>
              </w:rPr>
              <w:t>40 CFR 82</w:t>
            </w:r>
          </w:p>
        </w:tc>
        <w:tc>
          <w:tcPr>
            <w:tcW w:w="2700" w:type="dxa"/>
            <w:tcBorders>
              <w:top w:val="single" w:sz="6" w:space="0" w:color="000000"/>
              <w:left w:val="single" w:sz="6" w:space="0" w:color="000000"/>
              <w:bottom w:val="single" w:sz="6" w:space="0" w:color="000000"/>
              <w:right w:val="single" w:sz="6" w:space="0" w:color="000000"/>
            </w:tcBorders>
          </w:tcPr>
          <w:p w14:paraId="783C6D71" w14:textId="77777777" w:rsidR="00A5347B" w:rsidRPr="00AF0584" w:rsidRDefault="00A5347B" w:rsidP="00FA0F04">
            <w:pPr>
              <w:widowControl w:val="0"/>
              <w:spacing w:after="58" w:line="240" w:lineRule="atLeast"/>
              <w:rPr>
                <w:sz w:val="22"/>
                <w:szCs w:val="22"/>
              </w:rPr>
            </w:pPr>
            <w:r w:rsidRPr="00AF0584">
              <w:rPr>
                <w:sz w:val="22"/>
                <w:szCs w:val="22"/>
              </w:rPr>
              <w:t xml:space="preserve">Protection of Stratospheric Ozone </w:t>
            </w:r>
          </w:p>
          <w:p w14:paraId="413F790B" w14:textId="77777777" w:rsidR="00A5347B" w:rsidRPr="00AF0584" w:rsidRDefault="00A5347B" w:rsidP="00FA0F04">
            <w:pPr>
              <w:widowControl w:val="0"/>
              <w:spacing w:after="58" w:line="240" w:lineRule="atLeast"/>
              <w:rPr>
                <w:sz w:val="22"/>
                <w:szCs w:val="22"/>
              </w:rPr>
            </w:pPr>
          </w:p>
        </w:tc>
        <w:tc>
          <w:tcPr>
            <w:tcW w:w="972" w:type="dxa"/>
            <w:tcBorders>
              <w:top w:val="single" w:sz="6" w:space="0" w:color="000000"/>
              <w:left w:val="single" w:sz="6" w:space="0" w:color="000000"/>
              <w:bottom w:val="single" w:sz="6" w:space="0" w:color="000000"/>
              <w:right w:val="single" w:sz="6" w:space="0" w:color="000000"/>
            </w:tcBorders>
          </w:tcPr>
          <w:p w14:paraId="3B13718A" w14:textId="77777777" w:rsidR="00A5347B" w:rsidRPr="00AF0584" w:rsidRDefault="003F08FF" w:rsidP="003F08FF">
            <w:pPr>
              <w:widowControl w:val="0"/>
              <w:spacing w:after="58" w:line="240" w:lineRule="atLeast"/>
              <w:jc w:val="center"/>
              <w:rPr>
                <w:sz w:val="22"/>
                <w:szCs w:val="22"/>
              </w:rPr>
            </w:pPr>
            <w:r>
              <w:rPr>
                <w:sz w:val="22"/>
                <w:szCs w:val="22"/>
              </w:rPr>
              <w:t>Y</w:t>
            </w:r>
          </w:p>
        </w:tc>
        <w:tc>
          <w:tcPr>
            <w:tcW w:w="1098" w:type="dxa"/>
            <w:tcBorders>
              <w:top w:val="single" w:sz="6" w:space="0" w:color="000000"/>
              <w:left w:val="single" w:sz="6" w:space="0" w:color="000000"/>
              <w:bottom w:val="single" w:sz="6" w:space="0" w:color="000000"/>
              <w:right w:val="single" w:sz="6" w:space="0" w:color="000000"/>
            </w:tcBorders>
          </w:tcPr>
          <w:p w14:paraId="73F78D1A" w14:textId="77777777" w:rsidR="00A5347B" w:rsidRPr="00AF0584" w:rsidRDefault="003F08FF" w:rsidP="00FA0F04">
            <w:pPr>
              <w:pStyle w:val="NormalWeb"/>
              <w:widowControl w:val="0"/>
              <w:spacing w:after="58" w:line="240" w:lineRule="atLeast"/>
              <w:rPr>
                <w:rFonts w:ascii="Times New Roman" w:hAnsi="Times New Roman" w:cs="Times New Roman"/>
                <w:sz w:val="22"/>
                <w:szCs w:val="22"/>
              </w:rPr>
            </w:pPr>
            <w:r>
              <w:rPr>
                <w:rFonts w:ascii="Times New Roman" w:hAnsi="Times New Roman" w:cs="Times New Roman"/>
                <w:sz w:val="22"/>
                <w:szCs w:val="22"/>
              </w:rPr>
              <w:t>Facility</w:t>
            </w:r>
          </w:p>
        </w:tc>
        <w:tc>
          <w:tcPr>
            <w:tcW w:w="4410" w:type="dxa"/>
            <w:tcBorders>
              <w:top w:val="single" w:sz="6" w:space="0" w:color="000000"/>
              <w:left w:val="single" w:sz="6" w:space="0" w:color="000000"/>
              <w:bottom w:val="single" w:sz="6" w:space="0" w:color="000000"/>
              <w:right w:val="single" w:sz="6" w:space="0" w:color="000000"/>
            </w:tcBorders>
          </w:tcPr>
          <w:p w14:paraId="7AED13B4" w14:textId="77777777" w:rsidR="00A5347B" w:rsidRPr="00AF0584" w:rsidRDefault="003F08FF" w:rsidP="003F08FF">
            <w:pPr>
              <w:autoSpaceDE w:val="0"/>
              <w:autoSpaceDN w:val="0"/>
              <w:adjustRightInd w:val="0"/>
              <w:rPr>
                <w:sz w:val="22"/>
                <w:szCs w:val="22"/>
              </w:rPr>
            </w:pPr>
            <w:r w:rsidRPr="003F08FF">
              <w:rPr>
                <w:sz w:val="22"/>
                <w:szCs w:val="22"/>
              </w:rPr>
              <w:t>Hobbs equipment includes appliances containing</w:t>
            </w:r>
            <w:r>
              <w:rPr>
                <w:sz w:val="22"/>
                <w:szCs w:val="22"/>
              </w:rPr>
              <w:t xml:space="preserve"> </w:t>
            </w:r>
            <w:r w:rsidRPr="003F08FF">
              <w:rPr>
                <w:sz w:val="22"/>
                <w:szCs w:val="22"/>
              </w:rPr>
              <w:t>CFCs and is therefore subject to the requirements of</w:t>
            </w:r>
            <w:r>
              <w:rPr>
                <w:sz w:val="22"/>
                <w:szCs w:val="22"/>
              </w:rPr>
              <w:t xml:space="preserve"> </w:t>
            </w:r>
            <w:r w:rsidRPr="003F08FF">
              <w:rPr>
                <w:sz w:val="22"/>
                <w:szCs w:val="22"/>
              </w:rPr>
              <w:t>40 CFR 82. Hobbs uses only certified technicians for</w:t>
            </w:r>
            <w:r>
              <w:rPr>
                <w:sz w:val="22"/>
                <w:szCs w:val="22"/>
              </w:rPr>
              <w:t xml:space="preserve"> </w:t>
            </w:r>
            <w:r w:rsidRPr="003F08FF">
              <w:rPr>
                <w:sz w:val="22"/>
                <w:szCs w:val="22"/>
              </w:rPr>
              <w:t>the maintenance, service, repair and disposal of these</w:t>
            </w:r>
            <w:r>
              <w:rPr>
                <w:sz w:val="22"/>
                <w:szCs w:val="22"/>
              </w:rPr>
              <w:t xml:space="preserve"> </w:t>
            </w:r>
            <w:r w:rsidRPr="003F08FF">
              <w:rPr>
                <w:sz w:val="22"/>
                <w:szCs w:val="22"/>
              </w:rPr>
              <w:t>appliances and maintains the appropriate records.</w:t>
            </w:r>
          </w:p>
        </w:tc>
      </w:tr>
    </w:tbl>
    <w:p w14:paraId="2156A71F" w14:textId="77777777" w:rsidR="008F6858" w:rsidRDefault="008F6858" w:rsidP="00FA0F04">
      <w:pPr>
        <w:widowControl w:val="0"/>
        <w:rPr>
          <w:sz w:val="22"/>
          <w:szCs w:val="22"/>
        </w:rPr>
      </w:pPr>
    </w:p>
    <w:p w14:paraId="14561114" w14:textId="77777777" w:rsidR="008F6858" w:rsidRDefault="008F6858" w:rsidP="00FA0F04">
      <w:pPr>
        <w:widowControl w:val="0"/>
        <w:rPr>
          <w:sz w:val="22"/>
          <w:szCs w:val="22"/>
        </w:rPr>
      </w:pPr>
    </w:p>
    <w:p w14:paraId="44D9E450" w14:textId="77777777" w:rsidR="00BF43B7" w:rsidRDefault="00BF43B7" w:rsidP="00FA0F04">
      <w:pPr>
        <w:widowControl w:val="0"/>
        <w:rPr>
          <w:sz w:val="22"/>
          <w:szCs w:val="22"/>
        </w:rPr>
      </w:pPr>
    </w:p>
    <w:p w14:paraId="7618A5CE" w14:textId="77777777" w:rsidR="00C65288" w:rsidRDefault="00C65288" w:rsidP="00FA0F04">
      <w:pPr>
        <w:widowControl w:val="0"/>
        <w:numPr>
          <w:ilvl w:val="0"/>
          <w:numId w:val="1"/>
        </w:numPr>
        <w:jc w:val="both"/>
      </w:pPr>
      <w:r>
        <w:rPr>
          <w:b/>
          <w:bCs/>
          <w:sz w:val="22"/>
          <w:szCs w:val="22"/>
          <w:u w:val="single"/>
        </w:rPr>
        <w:t>Exempt and/or Insignificant Equipment that do not require monitoring</w:t>
      </w:r>
      <w:r>
        <w:rPr>
          <w:sz w:val="22"/>
          <w:szCs w:val="22"/>
          <w:u w:val="single"/>
        </w:rPr>
        <w:t>:</w:t>
      </w:r>
      <w:r>
        <w:rPr>
          <w:sz w:val="22"/>
          <w:szCs w:val="22"/>
        </w:rPr>
        <w:t xml:space="preserve">  </w:t>
      </w:r>
    </w:p>
    <w:p w14:paraId="2A9DBA63" w14:textId="77777777" w:rsidR="00C65288" w:rsidRPr="00A957AC" w:rsidRDefault="00C65288" w:rsidP="00FA0F04">
      <w:pPr>
        <w:widowControl w:val="0"/>
        <w:ind w:left="720"/>
        <w:jc w:val="both"/>
        <w:rPr>
          <w:b/>
          <w:color w:val="FF0000"/>
        </w:rPr>
      </w:pPr>
    </w:p>
    <w:p w14:paraId="000426D5" w14:textId="77777777" w:rsidR="00B05FD5" w:rsidRDefault="00B05FD5" w:rsidP="00FA0F04">
      <w:pPr>
        <w:widowControl w:val="0"/>
      </w:pPr>
    </w:p>
    <w:p w14:paraId="3A527C11" w14:textId="77777777" w:rsidR="00A957AC" w:rsidRPr="007B11C5" w:rsidRDefault="00FC4DB3" w:rsidP="00FA0F04">
      <w:pPr>
        <w:widowControl w:val="0"/>
      </w:pPr>
      <w:r w:rsidRPr="00DC68BD">
        <w:rPr>
          <w:b/>
          <w:bCs/>
        </w:rPr>
        <w:t>NSR Exempt Equipment</w:t>
      </w:r>
      <w:r w:rsidRPr="00DC68BD">
        <w:t xml:space="preserve"> (not entered into Tempo database)</w:t>
      </w:r>
    </w:p>
    <w:tbl>
      <w:tblPr>
        <w:tblW w:w="10250" w:type="dxa"/>
        <w:tblInd w:w="118" w:type="dxa"/>
        <w:tblLayout w:type="fixed"/>
        <w:tblLook w:val="04A0" w:firstRow="1" w:lastRow="0" w:firstColumn="1" w:lastColumn="0" w:noHBand="0" w:noVBand="1"/>
      </w:tblPr>
      <w:tblGrid>
        <w:gridCol w:w="1240"/>
        <w:gridCol w:w="2380"/>
        <w:gridCol w:w="1480"/>
        <w:gridCol w:w="1460"/>
        <w:gridCol w:w="1420"/>
        <w:gridCol w:w="2270"/>
      </w:tblGrid>
      <w:tr w:rsidR="00902178" w14:paraId="7780019F" w14:textId="77777777" w:rsidTr="00902178">
        <w:trPr>
          <w:trHeight w:val="315"/>
        </w:trPr>
        <w:tc>
          <w:tcPr>
            <w:tcW w:w="1240" w:type="dxa"/>
            <w:vMerge w:val="restart"/>
            <w:tcBorders>
              <w:top w:val="single" w:sz="8" w:space="0" w:color="auto"/>
              <w:left w:val="single" w:sz="8" w:space="0" w:color="auto"/>
              <w:bottom w:val="single" w:sz="4" w:space="0" w:color="000000"/>
              <w:right w:val="single" w:sz="4" w:space="0" w:color="auto"/>
            </w:tcBorders>
            <w:shd w:val="clear" w:color="auto" w:fill="auto"/>
            <w:vAlign w:val="center"/>
            <w:hideMark/>
          </w:tcPr>
          <w:p w14:paraId="2174A429" w14:textId="77777777" w:rsidR="00902178" w:rsidRDefault="00902178">
            <w:pPr>
              <w:jc w:val="center"/>
              <w:rPr>
                <w:b/>
                <w:bCs/>
                <w:sz w:val="18"/>
                <w:szCs w:val="18"/>
              </w:rPr>
            </w:pPr>
            <w:r>
              <w:rPr>
                <w:b/>
                <w:bCs/>
                <w:sz w:val="18"/>
                <w:szCs w:val="18"/>
              </w:rPr>
              <w:t>Unit Number</w:t>
            </w:r>
          </w:p>
        </w:tc>
        <w:tc>
          <w:tcPr>
            <w:tcW w:w="2380"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12CA85C6" w14:textId="77777777" w:rsidR="00902178" w:rsidRDefault="00902178">
            <w:pPr>
              <w:jc w:val="center"/>
              <w:rPr>
                <w:b/>
                <w:bCs/>
                <w:sz w:val="18"/>
                <w:szCs w:val="18"/>
              </w:rPr>
            </w:pPr>
            <w:r>
              <w:rPr>
                <w:b/>
                <w:bCs/>
                <w:sz w:val="18"/>
                <w:szCs w:val="18"/>
              </w:rPr>
              <w:t>Source Description</w:t>
            </w:r>
          </w:p>
        </w:tc>
        <w:tc>
          <w:tcPr>
            <w:tcW w:w="1480"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7E7ABE57" w14:textId="77777777" w:rsidR="00902178" w:rsidRDefault="00902178">
            <w:pPr>
              <w:jc w:val="center"/>
              <w:rPr>
                <w:b/>
                <w:bCs/>
                <w:sz w:val="18"/>
                <w:szCs w:val="18"/>
              </w:rPr>
            </w:pPr>
            <w:r>
              <w:rPr>
                <w:b/>
                <w:bCs/>
                <w:sz w:val="18"/>
                <w:szCs w:val="18"/>
              </w:rPr>
              <w:t>Manufacturer</w:t>
            </w:r>
          </w:p>
        </w:tc>
        <w:tc>
          <w:tcPr>
            <w:tcW w:w="1460"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45E4FF66" w14:textId="77777777" w:rsidR="00902178" w:rsidRDefault="00902178">
            <w:pPr>
              <w:jc w:val="center"/>
              <w:rPr>
                <w:b/>
                <w:bCs/>
                <w:sz w:val="18"/>
                <w:szCs w:val="18"/>
              </w:rPr>
            </w:pPr>
            <w:r>
              <w:rPr>
                <w:b/>
                <w:bCs/>
                <w:sz w:val="18"/>
                <w:szCs w:val="18"/>
              </w:rPr>
              <w:t>Model No.</w:t>
            </w:r>
          </w:p>
        </w:tc>
        <w:tc>
          <w:tcPr>
            <w:tcW w:w="1420"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7D26C631" w14:textId="77777777" w:rsidR="00902178" w:rsidRDefault="00902178">
            <w:pPr>
              <w:jc w:val="center"/>
              <w:rPr>
                <w:b/>
                <w:bCs/>
                <w:sz w:val="16"/>
                <w:szCs w:val="16"/>
              </w:rPr>
            </w:pPr>
            <w:r>
              <w:rPr>
                <w:b/>
                <w:bCs/>
                <w:sz w:val="16"/>
                <w:szCs w:val="16"/>
              </w:rPr>
              <w:t>Max Capacity</w:t>
            </w:r>
          </w:p>
        </w:tc>
        <w:tc>
          <w:tcPr>
            <w:tcW w:w="2270"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538E3358" w14:textId="77777777" w:rsidR="00902178" w:rsidRDefault="00902178">
            <w:pPr>
              <w:jc w:val="center"/>
              <w:rPr>
                <w:b/>
                <w:bCs/>
                <w:sz w:val="16"/>
                <w:szCs w:val="16"/>
              </w:rPr>
            </w:pPr>
            <w:r>
              <w:rPr>
                <w:b/>
                <w:bCs/>
                <w:sz w:val="16"/>
                <w:szCs w:val="16"/>
              </w:rPr>
              <w:t>List Specific 20.2.72.202 NMAC Exemption (e.g. 20.2.72.202.B.5)</w:t>
            </w:r>
          </w:p>
        </w:tc>
      </w:tr>
      <w:tr w:rsidR="00902178" w14:paraId="0C67E913" w14:textId="77777777" w:rsidTr="00902178">
        <w:trPr>
          <w:trHeight w:val="517"/>
        </w:trPr>
        <w:tc>
          <w:tcPr>
            <w:tcW w:w="1240" w:type="dxa"/>
            <w:vMerge/>
            <w:tcBorders>
              <w:top w:val="single" w:sz="8" w:space="0" w:color="auto"/>
              <w:left w:val="single" w:sz="8" w:space="0" w:color="auto"/>
              <w:bottom w:val="single" w:sz="4" w:space="0" w:color="000000"/>
              <w:right w:val="single" w:sz="4" w:space="0" w:color="auto"/>
            </w:tcBorders>
            <w:vAlign w:val="center"/>
            <w:hideMark/>
          </w:tcPr>
          <w:p w14:paraId="04CB32EB" w14:textId="77777777" w:rsidR="00902178" w:rsidRDefault="00902178">
            <w:pPr>
              <w:rPr>
                <w:b/>
                <w:bCs/>
                <w:sz w:val="18"/>
                <w:szCs w:val="18"/>
              </w:rPr>
            </w:pPr>
          </w:p>
        </w:tc>
        <w:tc>
          <w:tcPr>
            <w:tcW w:w="2380" w:type="dxa"/>
            <w:vMerge/>
            <w:tcBorders>
              <w:top w:val="single" w:sz="8" w:space="0" w:color="auto"/>
              <w:left w:val="single" w:sz="4" w:space="0" w:color="auto"/>
              <w:bottom w:val="single" w:sz="4" w:space="0" w:color="000000"/>
              <w:right w:val="single" w:sz="4" w:space="0" w:color="auto"/>
            </w:tcBorders>
            <w:vAlign w:val="center"/>
            <w:hideMark/>
          </w:tcPr>
          <w:p w14:paraId="026D021E" w14:textId="77777777" w:rsidR="00902178" w:rsidRDefault="00902178">
            <w:pPr>
              <w:rPr>
                <w:b/>
                <w:bCs/>
                <w:sz w:val="18"/>
                <w:szCs w:val="18"/>
              </w:rPr>
            </w:pPr>
          </w:p>
        </w:tc>
        <w:tc>
          <w:tcPr>
            <w:tcW w:w="1480" w:type="dxa"/>
            <w:vMerge/>
            <w:tcBorders>
              <w:top w:val="single" w:sz="8" w:space="0" w:color="auto"/>
              <w:left w:val="single" w:sz="4" w:space="0" w:color="auto"/>
              <w:bottom w:val="single" w:sz="4" w:space="0" w:color="000000"/>
              <w:right w:val="single" w:sz="4" w:space="0" w:color="auto"/>
            </w:tcBorders>
            <w:vAlign w:val="center"/>
            <w:hideMark/>
          </w:tcPr>
          <w:p w14:paraId="2AF6FAD6" w14:textId="77777777" w:rsidR="00902178" w:rsidRDefault="00902178">
            <w:pPr>
              <w:rPr>
                <w:b/>
                <w:bCs/>
                <w:sz w:val="18"/>
                <w:szCs w:val="18"/>
              </w:rPr>
            </w:pPr>
          </w:p>
        </w:tc>
        <w:tc>
          <w:tcPr>
            <w:tcW w:w="1460" w:type="dxa"/>
            <w:vMerge/>
            <w:tcBorders>
              <w:top w:val="single" w:sz="8" w:space="0" w:color="auto"/>
              <w:left w:val="single" w:sz="4" w:space="0" w:color="auto"/>
              <w:bottom w:val="single" w:sz="4" w:space="0" w:color="000000"/>
              <w:right w:val="single" w:sz="4" w:space="0" w:color="auto"/>
            </w:tcBorders>
            <w:vAlign w:val="center"/>
            <w:hideMark/>
          </w:tcPr>
          <w:p w14:paraId="6001B796" w14:textId="77777777" w:rsidR="00902178" w:rsidRDefault="00902178">
            <w:pPr>
              <w:rPr>
                <w:b/>
                <w:bCs/>
                <w:sz w:val="18"/>
                <w:szCs w:val="18"/>
              </w:rPr>
            </w:pPr>
          </w:p>
        </w:tc>
        <w:tc>
          <w:tcPr>
            <w:tcW w:w="1420" w:type="dxa"/>
            <w:vMerge/>
            <w:tcBorders>
              <w:top w:val="single" w:sz="8" w:space="0" w:color="auto"/>
              <w:left w:val="single" w:sz="4" w:space="0" w:color="auto"/>
              <w:bottom w:val="single" w:sz="4" w:space="0" w:color="000000"/>
              <w:right w:val="single" w:sz="4" w:space="0" w:color="auto"/>
            </w:tcBorders>
            <w:vAlign w:val="center"/>
            <w:hideMark/>
          </w:tcPr>
          <w:p w14:paraId="3CECF026" w14:textId="77777777" w:rsidR="00902178" w:rsidRDefault="00902178">
            <w:pPr>
              <w:rPr>
                <w:b/>
                <w:bCs/>
                <w:sz w:val="16"/>
                <w:szCs w:val="16"/>
              </w:rPr>
            </w:pPr>
          </w:p>
        </w:tc>
        <w:tc>
          <w:tcPr>
            <w:tcW w:w="2270" w:type="dxa"/>
            <w:vMerge/>
            <w:tcBorders>
              <w:top w:val="single" w:sz="8" w:space="0" w:color="auto"/>
              <w:left w:val="single" w:sz="4" w:space="0" w:color="auto"/>
              <w:bottom w:val="single" w:sz="4" w:space="0" w:color="000000"/>
              <w:right w:val="single" w:sz="4" w:space="0" w:color="auto"/>
            </w:tcBorders>
            <w:vAlign w:val="center"/>
            <w:hideMark/>
          </w:tcPr>
          <w:p w14:paraId="68C5C8E7" w14:textId="77777777" w:rsidR="00902178" w:rsidRDefault="00902178">
            <w:pPr>
              <w:rPr>
                <w:b/>
                <w:bCs/>
                <w:sz w:val="16"/>
                <w:szCs w:val="16"/>
              </w:rPr>
            </w:pPr>
          </w:p>
        </w:tc>
      </w:tr>
      <w:tr w:rsidR="00902178" w14:paraId="7E536A99" w14:textId="77777777" w:rsidTr="00902178">
        <w:trPr>
          <w:trHeight w:val="517"/>
        </w:trPr>
        <w:tc>
          <w:tcPr>
            <w:tcW w:w="1240" w:type="dxa"/>
            <w:vMerge/>
            <w:tcBorders>
              <w:top w:val="single" w:sz="8" w:space="0" w:color="auto"/>
              <w:left w:val="single" w:sz="8" w:space="0" w:color="auto"/>
              <w:bottom w:val="single" w:sz="4" w:space="0" w:color="000000"/>
              <w:right w:val="single" w:sz="4" w:space="0" w:color="auto"/>
            </w:tcBorders>
            <w:vAlign w:val="center"/>
            <w:hideMark/>
          </w:tcPr>
          <w:p w14:paraId="096541B7" w14:textId="77777777" w:rsidR="00902178" w:rsidRDefault="00902178">
            <w:pPr>
              <w:rPr>
                <w:b/>
                <w:bCs/>
                <w:sz w:val="18"/>
                <w:szCs w:val="18"/>
              </w:rPr>
            </w:pPr>
          </w:p>
        </w:tc>
        <w:tc>
          <w:tcPr>
            <w:tcW w:w="2380" w:type="dxa"/>
            <w:vMerge/>
            <w:tcBorders>
              <w:top w:val="single" w:sz="8" w:space="0" w:color="auto"/>
              <w:left w:val="single" w:sz="4" w:space="0" w:color="auto"/>
              <w:bottom w:val="single" w:sz="4" w:space="0" w:color="000000"/>
              <w:right w:val="single" w:sz="4" w:space="0" w:color="auto"/>
            </w:tcBorders>
            <w:vAlign w:val="center"/>
            <w:hideMark/>
          </w:tcPr>
          <w:p w14:paraId="0C96CBB8" w14:textId="77777777" w:rsidR="00902178" w:rsidRDefault="00902178">
            <w:pPr>
              <w:rPr>
                <w:b/>
                <w:bCs/>
                <w:sz w:val="18"/>
                <w:szCs w:val="18"/>
              </w:rPr>
            </w:pPr>
          </w:p>
        </w:tc>
        <w:tc>
          <w:tcPr>
            <w:tcW w:w="1480" w:type="dxa"/>
            <w:vMerge/>
            <w:tcBorders>
              <w:top w:val="single" w:sz="8" w:space="0" w:color="auto"/>
              <w:left w:val="single" w:sz="4" w:space="0" w:color="auto"/>
              <w:bottom w:val="single" w:sz="4" w:space="0" w:color="000000"/>
              <w:right w:val="single" w:sz="4" w:space="0" w:color="auto"/>
            </w:tcBorders>
            <w:vAlign w:val="center"/>
            <w:hideMark/>
          </w:tcPr>
          <w:p w14:paraId="10121B34" w14:textId="77777777" w:rsidR="00902178" w:rsidRDefault="00902178">
            <w:pPr>
              <w:rPr>
                <w:b/>
                <w:bCs/>
                <w:sz w:val="18"/>
                <w:szCs w:val="18"/>
              </w:rPr>
            </w:pPr>
          </w:p>
        </w:tc>
        <w:tc>
          <w:tcPr>
            <w:tcW w:w="1460" w:type="dxa"/>
            <w:vMerge w:val="restart"/>
            <w:tcBorders>
              <w:top w:val="nil"/>
              <w:left w:val="single" w:sz="4" w:space="0" w:color="auto"/>
              <w:bottom w:val="single" w:sz="4" w:space="0" w:color="000000"/>
              <w:right w:val="single" w:sz="4" w:space="0" w:color="auto"/>
            </w:tcBorders>
            <w:shd w:val="clear" w:color="000000" w:fill="E3E3E3"/>
            <w:vAlign w:val="center"/>
            <w:hideMark/>
          </w:tcPr>
          <w:p w14:paraId="21AA46B3" w14:textId="77777777" w:rsidR="00902178" w:rsidRDefault="00902178">
            <w:pPr>
              <w:jc w:val="center"/>
              <w:rPr>
                <w:b/>
                <w:bCs/>
                <w:sz w:val="18"/>
                <w:szCs w:val="18"/>
              </w:rPr>
            </w:pPr>
            <w:r>
              <w:rPr>
                <w:b/>
                <w:bCs/>
                <w:sz w:val="18"/>
                <w:szCs w:val="18"/>
              </w:rPr>
              <w:t>Serial No.</w:t>
            </w:r>
          </w:p>
        </w:tc>
        <w:tc>
          <w:tcPr>
            <w:tcW w:w="1420" w:type="dxa"/>
            <w:vMerge w:val="restart"/>
            <w:tcBorders>
              <w:top w:val="nil"/>
              <w:left w:val="single" w:sz="4" w:space="0" w:color="auto"/>
              <w:bottom w:val="single" w:sz="4" w:space="0" w:color="000000"/>
              <w:right w:val="single" w:sz="4" w:space="0" w:color="auto"/>
            </w:tcBorders>
            <w:shd w:val="clear" w:color="000000" w:fill="E3E3E3"/>
            <w:vAlign w:val="center"/>
            <w:hideMark/>
          </w:tcPr>
          <w:p w14:paraId="1C670C55" w14:textId="77777777" w:rsidR="00902178" w:rsidRDefault="00902178">
            <w:pPr>
              <w:jc w:val="center"/>
              <w:rPr>
                <w:b/>
                <w:bCs/>
                <w:sz w:val="16"/>
                <w:szCs w:val="16"/>
              </w:rPr>
            </w:pPr>
            <w:r>
              <w:rPr>
                <w:b/>
                <w:bCs/>
                <w:sz w:val="16"/>
                <w:szCs w:val="16"/>
              </w:rPr>
              <w:t>Capacity Units</w:t>
            </w:r>
          </w:p>
        </w:tc>
        <w:tc>
          <w:tcPr>
            <w:tcW w:w="2270" w:type="dxa"/>
            <w:vMerge w:val="restart"/>
            <w:tcBorders>
              <w:top w:val="nil"/>
              <w:left w:val="single" w:sz="4" w:space="0" w:color="auto"/>
              <w:bottom w:val="single" w:sz="4" w:space="0" w:color="000000"/>
              <w:right w:val="single" w:sz="4" w:space="0" w:color="auto"/>
            </w:tcBorders>
            <w:shd w:val="clear" w:color="000000" w:fill="E3E3E3"/>
            <w:vAlign w:val="center"/>
            <w:hideMark/>
          </w:tcPr>
          <w:p w14:paraId="3850E169" w14:textId="77777777" w:rsidR="00902178" w:rsidRDefault="00902178">
            <w:pPr>
              <w:jc w:val="center"/>
              <w:rPr>
                <w:b/>
                <w:bCs/>
                <w:sz w:val="16"/>
                <w:szCs w:val="16"/>
              </w:rPr>
            </w:pPr>
            <w:r>
              <w:rPr>
                <w:b/>
                <w:bCs/>
                <w:sz w:val="16"/>
                <w:szCs w:val="16"/>
              </w:rPr>
              <w:t xml:space="preserve">Insignificant Activity citation </w:t>
            </w:r>
            <w:r>
              <w:rPr>
                <w:b/>
                <w:bCs/>
                <w:sz w:val="16"/>
                <w:szCs w:val="16"/>
              </w:rPr>
              <w:br/>
              <w:t>(e.g. IA List Item #1.a)</w:t>
            </w:r>
          </w:p>
        </w:tc>
      </w:tr>
      <w:tr w:rsidR="00902178" w14:paraId="0D3AF00B" w14:textId="77777777" w:rsidTr="00902178">
        <w:trPr>
          <w:trHeight w:val="517"/>
        </w:trPr>
        <w:tc>
          <w:tcPr>
            <w:tcW w:w="1240" w:type="dxa"/>
            <w:vMerge/>
            <w:tcBorders>
              <w:top w:val="single" w:sz="8" w:space="0" w:color="auto"/>
              <w:left w:val="single" w:sz="8" w:space="0" w:color="auto"/>
              <w:bottom w:val="single" w:sz="4" w:space="0" w:color="000000"/>
              <w:right w:val="single" w:sz="4" w:space="0" w:color="auto"/>
            </w:tcBorders>
            <w:vAlign w:val="center"/>
            <w:hideMark/>
          </w:tcPr>
          <w:p w14:paraId="612D5A5A" w14:textId="77777777" w:rsidR="00902178" w:rsidRDefault="00902178">
            <w:pPr>
              <w:rPr>
                <w:b/>
                <w:bCs/>
                <w:sz w:val="18"/>
                <w:szCs w:val="18"/>
              </w:rPr>
            </w:pPr>
          </w:p>
        </w:tc>
        <w:tc>
          <w:tcPr>
            <w:tcW w:w="2380" w:type="dxa"/>
            <w:vMerge/>
            <w:tcBorders>
              <w:top w:val="single" w:sz="8" w:space="0" w:color="auto"/>
              <w:left w:val="single" w:sz="4" w:space="0" w:color="auto"/>
              <w:bottom w:val="single" w:sz="4" w:space="0" w:color="000000"/>
              <w:right w:val="single" w:sz="4" w:space="0" w:color="auto"/>
            </w:tcBorders>
            <w:vAlign w:val="center"/>
            <w:hideMark/>
          </w:tcPr>
          <w:p w14:paraId="23F028C1" w14:textId="77777777" w:rsidR="00902178" w:rsidRDefault="00902178">
            <w:pPr>
              <w:rPr>
                <w:b/>
                <w:bCs/>
                <w:sz w:val="18"/>
                <w:szCs w:val="18"/>
              </w:rPr>
            </w:pPr>
          </w:p>
        </w:tc>
        <w:tc>
          <w:tcPr>
            <w:tcW w:w="1480" w:type="dxa"/>
            <w:vMerge/>
            <w:tcBorders>
              <w:top w:val="single" w:sz="8" w:space="0" w:color="auto"/>
              <w:left w:val="single" w:sz="4" w:space="0" w:color="auto"/>
              <w:bottom w:val="single" w:sz="4" w:space="0" w:color="000000"/>
              <w:right w:val="single" w:sz="4" w:space="0" w:color="auto"/>
            </w:tcBorders>
            <w:vAlign w:val="center"/>
            <w:hideMark/>
          </w:tcPr>
          <w:p w14:paraId="4F5849D5" w14:textId="77777777" w:rsidR="00902178" w:rsidRDefault="00902178">
            <w:pPr>
              <w:rPr>
                <w:b/>
                <w:bCs/>
                <w:sz w:val="18"/>
                <w:szCs w:val="18"/>
              </w:rPr>
            </w:pPr>
          </w:p>
        </w:tc>
        <w:tc>
          <w:tcPr>
            <w:tcW w:w="1460" w:type="dxa"/>
            <w:vMerge/>
            <w:tcBorders>
              <w:top w:val="nil"/>
              <w:left w:val="single" w:sz="4" w:space="0" w:color="auto"/>
              <w:bottom w:val="single" w:sz="4" w:space="0" w:color="000000"/>
              <w:right w:val="single" w:sz="4" w:space="0" w:color="auto"/>
            </w:tcBorders>
            <w:vAlign w:val="center"/>
            <w:hideMark/>
          </w:tcPr>
          <w:p w14:paraId="0915426E" w14:textId="77777777" w:rsidR="00902178" w:rsidRDefault="00902178">
            <w:pPr>
              <w:rPr>
                <w:b/>
                <w:bCs/>
                <w:sz w:val="18"/>
                <w:szCs w:val="18"/>
              </w:rPr>
            </w:pPr>
          </w:p>
        </w:tc>
        <w:tc>
          <w:tcPr>
            <w:tcW w:w="1420" w:type="dxa"/>
            <w:vMerge/>
            <w:tcBorders>
              <w:top w:val="nil"/>
              <w:left w:val="single" w:sz="4" w:space="0" w:color="auto"/>
              <w:bottom w:val="single" w:sz="4" w:space="0" w:color="000000"/>
              <w:right w:val="single" w:sz="4" w:space="0" w:color="auto"/>
            </w:tcBorders>
            <w:vAlign w:val="center"/>
            <w:hideMark/>
          </w:tcPr>
          <w:p w14:paraId="0FA22578" w14:textId="77777777" w:rsidR="00902178" w:rsidRDefault="00902178">
            <w:pPr>
              <w:rPr>
                <w:b/>
                <w:bCs/>
                <w:sz w:val="16"/>
                <w:szCs w:val="16"/>
              </w:rPr>
            </w:pPr>
          </w:p>
        </w:tc>
        <w:tc>
          <w:tcPr>
            <w:tcW w:w="2270" w:type="dxa"/>
            <w:vMerge/>
            <w:tcBorders>
              <w:top w:val="nil"/>
              <w:left w:val="single" w:sz="4" w:space="0" w:color="auto"/>
              <w:bottom w:val="single" w:sz="4" w:space="0" w:color="000000"/>
              <w:right w:val="single" w:sz="4" w:space="0" w:color="auto"/>
            </w:tcBorders>
            <w:vAlign w:val="center"/>
            <w:hideMark/>
          </w:tcPr>
          <w:p w14:paraId="5A842636" w14:textId="77777777" w:rsidR="00902178" w:rsidRDefault="00902178">
            <w:pPr>
              <w:rPr>
                <w:b/>
                <w:bCs/>
                <w:sz w:val="16"/>
                <w:szCs w:val="16"/>
              </w:rPr>
            </w:pPr>
          </w:p>
        </w:tc>
      </w:tr>
      <w:tr w:rsidR="00902178" w14:paraId="5E6821CD" w14:textId="77777777" w:rsidTr="00902178">
        <w:trPr>
          <w:trHeight w:val="345"/>
        </w:trPr>
        <w:tc>
          <w:tcPr>
            <w:tcW w:w="1240" w:type="dxa"/>
            <w:vMerge w:val="restart"/>
            <w:tcBorders>
              <w:top w:val="nil"/>
              <w:left w:val="single" w:sz="8" w:space="0" w:color="auto"/>
              <w:bottom w:val="single" w:sz="4" w:space="0" w:color="000000"/>
              <w:right w:val="single" w:sz="4" w:space="0" w:color="auto"/>
            </w:tcBorders>
            <w:shd w:val="clear" w:color="auto" w:fill="auto"/>
            <w:vAlign w:val="center"/>
            <w:hideMark/>
          </w:tcPr>
          <w:p w14:paraId="29179C95" w14:textId="77777777" w:rsidR="00902178" w:rsidRPr="00D02AC7" w:rsidRDefault="00902178">
            <w:pPr>
              <w:jc w:val="center"/>
              <w:rPr>
                <w:sz w:val="18"/>
                <w:szCs w:val="18"/>
              </w:rPr>
            </w:pPr>
            <w:r w:rsidRPr="00D02AC7">
              <w:rPr>
                <w:sz w:val="18"/>
                <w:szCs w:val="18"/>
              </w:rPr>
              <w:t>T-1</w:t>
            </w:r>
          </w:p>
        </w:tc>
        <w:tc>
          <w:tcPr>
            <w:tcW w:w="2380" w:type="dxa"/>
            <w:vMerge w:val="restart"/>
            <w:tcBorders>
              <w:top w:val="nil"/>
              <w:left w:val="single" w:sz="4" w:space="0" w:color="auto"/>
              <w:bottom w:val="single" w:sz="4" w:space="0" w:color="000000"/>
              <w:right w:val="single" w:sz="4" w:space="0" w:color="auto"/>
            </w:tcBorders>
            <w:shd w:val="clear" w:color="auto" w:fill="auto"/>
            <w:vAlign w:val="center"/>
            <w:hideMark/>
          </w:tcPr>
          <w:p w14:paraId="09DEB7A8" w14:textId="77777777" w:rsidR="00902178" w:rsidRPr="00D02AC7" w:rsidRDefault="00902178">
            <w:pPr>
              <w:jc w:val="center"/>
              <w:rPr>
                <w:sz w:val="18"/>
                <w:szCs w:val="18"/>
              </w:rPr>
            </w:pPr>
            <w:r w:rsidRPr="00D02AC7">
              <w:rPr>
                <w:sz w:val="18"/>
                <w:szCs w:val="18"/>
              </w:rPr>
              <w:t>Diesel Day Tank - Firewater Pump</w:t>
            </w:r>
          </w:p>
        </w:tc>
        <w:tc>
          <w:tcPr>
            <w:tcW w:w="1480" w:type="dxa"/>
            <w:vMerge w:val="restart"/>
            <w:tcBorders>
              <w:top w:val="nil"/>
              <w:left w:val="single" w:sz="4" w:space="0" w:color="auto"/>
              <w:bottom w:val="single" w:sz="4" w:space="0" w:color="000000"/>
              <w:right w:val="single" w:sz="4" w:space="0" w:color="auto"/>
            </w:tcBorders>
            <w:shd w:val="clear" w:color="auto" w:fill="auto"/>
            <w:vAlign w:val="center"/>
            <w:hideMark/>
          </w:tcPr>
          <w:p w14:paraId="40384BFF" w14:textId="77777777" w:rsidR="00902178" w:rsidRPr="00D02AC7" w:rsidRDefault="00902178">
            <w:pPr>
              <w:jc w:val="center"/>
              <w:rPr>
                <w:sz w:val="18"/>
                <w:szCs w:val="18"/>
              </w:rPr>
            </w:pPr>
            <w:r w:rsidRPr="00D02AC7">
              <w:rPr>
                <w:sz w:val="18"/>
                <w:szCs w:val="18"/>
              </w:rPr>
              <w:t>unknown</w:t>
            </w:r>
          </w:p>
        </w:tc>
        <w:tc>
          <w:tcPr>
            <w:tcW w:w="1460" w:type="dxa"/>
            <w:tcBorders>
              <w:top w:val="nil"/>
              <w:left w:val="nil"/>
              <w:bottom w:val="single" w:sz="4" w:space="0" w:color="auto"/>
              <w:right w:val="single" w:sz="4" w:space="0" w:color="auto"/>
            </w:tcBorders>
            <w:shd w:val="clear" w:color="auto" w:fill="auto"/>
            <w:vAlign w:val="center"/>
            <w:hideMark/>
          </w:tcPr>
          <w:p w14:paraId="4AC856AB" w14:textId="77777777" w:rsidR="00902178" w:rsidRPr="00D02AC7" w:rsidRDefault="00902178">
            <w:pPr>
              <w:jc w:val="center"/>
              <w:rPr>
                <w:sz w:val="18"/>
                <w:szCs w:val="18"/>
              </w:rPr>
            </w:pPr>
            <w:r w:rsidRPr="00D02AC7">
              <w:rPr>
                <w:sz w:val="18"/>
                <w:szCs w:val="18"/>
              </w:rPr>
              <w:t>unknown</w:t>
            </w:r>
          </w:p>
        </w:tc>
        <w:tc>
          <w:tcPr>
            <w:tcW w:w="1420" w:type="dxa"/>
            <w:tcBorders>
              <w:top w:val="nil"/>
              <w:left w:val="nil"/>
              <w:bottom w:val="single" w:sz="4" w:space="0" w:color="auto"/>
              <w:right w:val="single" w:sz="4" w:space="0" w:color="auto"/>
            </w:tcBorders>
            <w:shd w:val="clear" w:color="auto" w:fill="auto"/>
            <w:vAlign w:val="center"/>
            <w:hideMark/>
          </w:tcPr>
          <w:p w14:paraId="02B1C095" w14:textId="77777777" w:rsidR="00902178" w:rsidRPr="00D02AC7" w:rsidRDefault="00902178">
            <w:pPr>
              <w:jc w:val="center"/>
              <w:rPr>
                <w:sz w:val="18"/>
                <w:szCs w:val="18"/>
              </w:rPr>
            </w:pPr>
            <w:r w:rsidRPr="00D02AC7">
              <w:rPr>
                <w:sz w:val="18"/>
                <w:szCs w:val="18"/>
              </w:rPr>
              <w:t>300 gal</w:t>
            </w:r>
          </w:p>
        </w:tc>
        <w:tc>
          <w:tcPr>
            <w:tcW w:w="2270" w:type="dxa"/>
            <w:tcBorders>
              <w:top w:val="nil"/>
              <w:left w:val="nil"/>
              <w:bottom w:val="single" w:sz="4" w:space="0" w:color="auto"/>
              <w:right w:val="single" w:sz="4" w:space="0" w:color="auto"/>
            </w:tcBorders>
            <w:shd w:val="clear" w:color="auto" w:fill="auto"/>
            <w:vAlign w:val="center"/>
            <w:hideMark/>
          </w:tcPr>
          <w:p w14:paraId="7835BB2A" w14:textId="77777777" w:rsidR="00902178" w:rsidRPr="00D02AC7" w:rsidRDefault="00902178">
            <w:pPr>
              <w:jc w:val="center"/>
              <w:rPr>
                <w:sz w:val="18"/>
                <w:szCs w:val="18"/>
              </w:rPr>
            </w:pPr>
            <w:r w:rsidRPr="00D02AC7">
              <w:rPr>
                <w:sz w:val="18"/>
                <w:szCs w:val="18"/>
              </w:rPr>
              <w:t>20.2.72.202.B(2)</w:t>
            </w:r>
          </w:p>
        </w:tc>
      </w:tr>
      <w:tr w:rsidR="00902178" w14:paraId="4937E0E7" w14:textId="77777777" w:rsidTr="00902178">
        <w:trPr>
          <w:trHeight w:val="345"/>
        </w:trPr>
        <w:tc>
          <w:tcPr>
            <w:tcW w:w="1240" w:type="dxa"/>
            <w:vMerge/>
            <w:tcBorders>
              <w:top w:val="nil"/>
              <w:left w:val="single" w:sz="8" w:space="0" w:color="auto"/>
              <w:bottom w:val="single" w:sz="4" w:space="0" w:color="000000"/>
              <w:right w:val="single" w:sz="4" w:space="0" w:color="auto"/>
            </w:tcBorders>
            <w:vAlign w:val="center"/>
            <w:hideMark/>
          </w:tcPr>
          <w:p w14:paraId="5BE59022" w14:textId="77777777" w:rsidR="00902178" w:rsidRPr="00D02AC7" w:rsidRDefault="00902178">
            <w:pPr>
              <w:rPr>
                <w:sz w:val="18"/>
                <w:szCs w:val="18"/>
              </w:rPr>
            </w:pPr>
          </w:p>
        </w:tc>
        <w:tc>
          <w:tcPr>
            <w:tcW w:w="2380" w:type="dxa"/>
            <w:vMerge/>
            <w:tcBorders>
              <w:top w:val="nil"/>
              <w:left w:val="single" w:sz="4" w:space="0" w:color="auto"/>
              <w:bottom w:val="single" w:sz="4" w:space="0" w:color="000000"/>
              <w:right w:val="single" w:sz="4" w:space="0" w:color="auto"/>
            </w:tcBorders>
            <w:vAlign w:val="center"/>
            <w:hideMark/>
          </w:tcPr>
          <w:p w14:paraId="10D76051" w14:textId="77777777" w:rsidR="00902178" w:rsidRPr="00D02AC7" w:rsidRDefault="00902178">
            <w:pPr>
              <w:rPr>
                <w:sz w:val="18"/>
                <w:szCs w:val="18"/>
              </w:rPr>
            </w:pPr>
          </w:p>
        </w:tc>
        <w:tc>
          <w:tcPr>
            <w:tcW w:w="1480" w:type="dxa"/>
            <w:vMerge/>
            <w:tcBorders>
              <w:top w:val="nil"/>
              <w:left w:val="single" w:sz="4" w:space="0" w:color="auto"/>
              <w:bottom w:val="single" w:sz="4" w:space="0" w:color="000000"/>
              <w:right w:val="single" w:sz="4" w:space="0" w:color="auto"/>
            </w:tcBorders>
            <w:vAlign w:val="center"/>
            <w:hideMark/>
          </w:tcPr>
          <w:p w14:paraId="3196AF7C" w14:textId="77777777" w:rsidR="00902178" w:rsidRPr="00D02AC7" w:rsidRDefault="00902178">
            <w:pPr>
              <w:rPr>
                <w:sz w:val="18"/>
                <w:szCs w:val="18"/>
              </w:rPr>
            </w:pPr>
          </w:p>
        </w:tc>
        <w:tc>
          <w:tcPr>
            <w:tcW w:w="1460" w:type="dxa"/>
            <w:tcBorders>
              <w:top w:val="nil"/>
              <w:left w:val="nil"/>
              <w:bottom w:val="single" w:sz="4" w:space="0" w:color="auto"/>
              <w:right w:val="single" w:sz="4" w:space="0" w:color="auto"/>
            </w:tcBorders>
            <w:shd w:val="clear" w:color="000000" w:fill="E3E3E3"/>
            <w:vAlign w:val="center"/>
            <w:hideMark/>
          </w:tcPr>
          <w:p w14:paraId="7CD6FA64" w14:textId="77777777" w:rsidR="00902178" w:rsidRPr="00D02AC7" w:rsidRDefault="00902178">
            <w:pPr>
              <w:jc w:val="center"/>
              <w:rPr>
                <w:sz w:val="18"/>
                <w:szCs w:val="18"/>
              </w:rPr>
            </w:pPr>
            <w:r w:rsidRPr="00D02AC7">
              <w:rPr>
                <w:sz w:val="18"/>
                <w:szCs w:val="18"/>
              </w:rPr>
              <w:t>unknown</w:t>
            </w:r>
          </w:p>
        </w:tc>
        <w:tc>
          <w:tcPr>
            <w:tcW w:w="1420" w:type="dxa"/>
            <w:tcBorders>
              <w:top w:val="nil"/>
              <w:left w:val="nil"/>
              <w:bottom w:val="single" w:sz="4" w:space="0" w:color="auto"/>
              <w:right w:val="single" w:sz="4" w:space="0" w:color="auto"/>
            </w:tcBorders>
            <w:shd w:val="clear" w:color="000000" w:fill="E3E3E3"/>
            <w:vAlign w:val="center"/>
            <w:hideMark/>
          </w:tcPr>
          <w:p w14:paraId="5E50C011" w14:textId="77777777" w:rsidR="00902178" w:rsidRPr="00D02AC7" w:rsidRDefault="00902178">
            <w:pPr>
              <w:jc w:val="center"/>
              <w:rPr>
                <w:sz w:val="18"/>
                <w:szCs w:val="18"/>
              </w:rPr>
            </w:pPr>
            <w:r w:rsidRPr="00D02AC7">
              <w:rPr>
                <w:sz w:val="18"/>
                <w:szCs w:val="18"/>
              </w:rPr>
              <w:t>300 gal</w:t>
            </w:r>
          </w:p>
        </w:tc>
        <w:tc>
          <w:tcPr>
            <w:tcW w:w="2270" w:type="dxa"/>
            <w:tcBorders>
              <w:top w:val="nil"/>
              <w:left w:val="nil"/>
              <w:bottom w:val="single" w:sz="4" w:space="0" w:color="auto"/>
              <w:right w:val="single" w:sz="4" w:space="0" w:color="auto"/>
            </w:tcBorders>
            <w:shd w:val="clear" w:color="000000" w:fill="E3E3E3"/>
            <w:vAlign w:val="center"/>
            <w:hideMark/>
          </w:tcPr>
          <w:p w14:paraId="5AE54230" w14:textId="3B81E7D8" w:rsidR="00902178" w:rsidRPr="00D02AC7" w:rsidRDefault="00902178">
            <w:pPr>
              <w:jc w:val="center"/>
              <w:rPr>
                <w:sz w:val="18"/>
                <w:szCs w:val="18"/>
              </w:rPr>
            </w:pPr>
          </w:p>
        </w:tc>
      </w:tr>
      <w:tr w:rsidR="00902178" w14:paraId="66C5B623" w14:textId="77777777" w:rsidTr="00902178">
        <w:trPr>
          <w:trHeight w:val="345"/>
        </w:trPr>
        <w:tc>
          <w:tcPr>
            <w:tcW w:w="1240" w:type="dxa"/>
            <w:vMerge w:val="restart"/>
            <w:tcBorders>
              <w:top w:val="nil"/>
              <w:left w:val="single" w:sz="8" w:space="0" w:color="auto"/>
              <w:bottom w:val="single" w:sz="4" w:space="0" w:color="000000"/>
              <w:right w:val="single" w:sz="4" w:space="0" w:color="auto"/>
            </w:tcBorders>
            <w:shd w:val="clear" w:color="auto" w:fill="auto"/>
            <w:vAlign w:val="center"/>
            <w:hideMark/>
          </w:tcPr>
          <w:p w14:paraId="7FBBE5EA" w14:textId="77777777" w:rsidR="00902178" w:rsidRPr="00D02AC7" w:rsidRDefault="00902178">
            <w:pPr>
              <w:jc w:val="center"/>
              <w:rPr>
                <w:sz w:val="18"/>
                <w:szCs w:val="18"/>
              </w:rPr>
            </w:pPr>
            <w:r w:rsidRPr="00D02AC7">
              <w:rPr>
                <w:sz w:val="18"/>
                <w:szCs w:val="18"/>
              </w:rPr>
              <w:t>T-2</w:t>
            </w:r>
          </w:p>
        </w:tc>
        <w:tc>
          <w:tcPr>
            <w:tcW w:w="2380" w:type="dxa"/>
            <w:vMerge w:val="restart"/>
            <w:tcBorders>
              <w:top w:val="nil"/>
              <w:left w:val="single" w:sz="4" w:space="0" w:color="auto"/>
              <w:bottom w:val="single" w:sz="4" w:space="0" w:color="000000"/>
              <w:right w:val="single" w:sz="4" w:space="0" w:color="auto"/>
            </w:tcBorders>
            <w:shd w:val="clear" w:color="auto" w:fill="auto"/>
            <w:vAlign w:val="center"/>
            <w:hideMark/>
          </w:tcPr>
          <w:p w14:paraId="667046B4" w14:textId="77777777" w:rsidR="00902178" w:rsidRPr="00D02AC7" w:rsidRDefault="00902178">
            <w:pPr>
              <w:jc w:val="center"/>
              <w:rPr>
                <w:sz w:val="18"/>
                <w:szCs w:val="18"/>
              </w:rPr>
            </w:pPr>
            <w:r w:rsidRPr="00D02AC7">
              <w:rPr>
                <w:sz w:val="18"/>
                <w:szCs w:val="18"/>
              </w:rPr>
              <w:t>Diesel Day Tank - Standby Generator</w:t>
            </w:r>
          </w:p>
        </w:tc>
        <w:tc>
          <w:tcPr>
            <w:tcW w:w="1480" w:type="dxa"/>
            <w:vMerge w:val="restart"/>
            <w:tcBorders>
              <w:top w:val="nil"/>
              <w:left w:val="single" w:sz="4" w:space="0" w:color="auto"/>
              <w:bottom w:val="single" w:sz="4" w:space="0" w:color="000000"/>
              <w:right w:val="single" w:sz="4" w:space="0" w:color="auto"/>
            </w:tcBorders>
            <w:shd w:val="clear" w:color="auto" w:fill="auto"/>
            <w:vAlign w:val="center"/>
            <w:hideMark/>
          </w:tcPr>
          <w:p w14:paraId="7C555B9A" w14:textId="77777777" w:rsidR="00902178" w:rsidRPr="00D02AC7" w:rsidRDefault="00902178">
            <w:pPr>
              <w:jc w:val="center"/>
              <w:rPr>
                <w:sz w:val="18"/>
                <w:szCs w:val="18"/>
              </w:rPr>
            </w:pPr>
            <w:r w:rsidRPr="00D02AC7">
              <w:rPr>
                <w:sz w:val="18"/>
                <w:szCs w:val="18"/>
              </w:rPr>
              <w:t>unknown</w:t>
            </w:r>
          </w:p>
        </w:tc>
        <w:tc>
          <w:tcPr>
            <w:tcW w:w="1460" w:type="dxa"/>
            <w:tcBorders>
              <w:top w:val="nil"/>
              <w:left w:val="nil"/>
              <w:bottom w:val="single" w:sz="4" w:space="0" w:color="auto"/>
              <w:right w:val="single" w:sz="4" w:space="0" w:color="auto"/>
            </w:tcBorders>
            <w:shd w:val="clear" w:color="auto" w:fill="auto"/>
            <w:vAlign w:val="center"/>
            <w:hideMark/>
          </w:tcPr>
          <w:p w14:paraId="71A81894" w14:textId="77777777" w:rsidR="00902178" w:rsidRPr="00D02AC7" w:rsidRDefault="00902178">
            <w:pPr>
              <w:jc w:val="center"/>
              <w:rPr>
                <w:sz w:val="18"/>
                <w:szCs w:val="18"/>
              </w:rPr>
            </w:pPr>
            <w:r w:rsidRPr="00D02AC7">
              <w:rPr>
                <w:sz w:val="18"/>
                <w:szCs w:val="18"/>
              </w:rPr>
              <w:t>unknown</w:t>
            </w:r>
          </w:p>
        </w:tc>
        <w:tc>
          <w:tcPr>
            <w:tcW w:w="1420" w:type="dxa"/>
            <w:tcBorders>
              <w:top w:val="nil"/>
              <w:left w:val="nil"/>
              <w:bottom w:val="single" w:sz="4" w:space="0" w:color="auto"/>
              <w:right w:val="single" w:sz="4" w:space="0" w:color="auto"/>
            </w:tcBorders>
            <w:shd w:val="clear" w:color="auto" w:fill="auto"/>
            <w:vAlign w:val="center"/>
            <w:hideMark/>
          </w:tcPr>
          <w:p w14:paraId="58C3ECDC" w14:textId="77777777" w:rsidR="00902178" w:rsidRPr="00D02AC7" w:rsidRDefault="00902178">
            <w:pPr>
              <w:jc w:val="center"/>
              <w:rPr>
                <w:sz w:val="18"/>
                <w:szCs w:val="18"/>
              </w:rPr>
            </w:pPr>
            <w:r w:rsidRPr="00D02AC7">
              <w:rPr>
                <w:sz w:val="18"/>
                <w:szCs w:val="18"/>
              </w:rPr>
              <w:t>1,250 gal</w:t>
            </w:r>
          </w:p>
        </w:tc>
        <w:tc>
          <w:tcPr>
            <w:tcW w:w="2270" w:type="dxa"/>
            <w:tcBorders>
              <w:top w:val="nil"/>
              <w:left w:val="nil"/>
              <w:bottom w:val="single" w:sz="4" w:space="0" w:color="auto"/>
              <w:right w:val="single" w:sz="4" w:space="0" w:color="auto"/>
            </w:tcBorders>
            <w:shd w:val="clear" w:color="auto" w:fill="auto"/>
            <w:vAlign w:val="center"/>
            <w:hideMark/>
          </w:tcPr>
          <w:p w14:paraId="6F62A0F1" w14:textId="77777777" w:rsidR="00902178" w:rsidRPr="00D02AC7" w:rsidRDefault="00902178">
            <w:pPr>
              <w:jc w:val="center"/>
              <w:rPr>
                <w:sz w:val="18"/>
                <w:szCs w:val="18"/>
              </w:rPr>
            </w:pPr>
            <w:r w:rsidRPr="00D02AC7">
              <w:rPr>
                <w:sz w:val="18"/>
                <w:szCs w:val="18"/>
              </w:rPr>
              <w:t>20.2.72.202.B(2)(a)</w:t>
            </w:r>
          </w:p>
        </w:tc>
      </w:tr>
      <w:tr w:rsidR="00902178" w14:paraId="0D7A55FD" w14:textId="77777777" w:rsidTr="00902178">
        <w:trPr>
          <w:trHeight w:val="345"/>
        </w:trPr>
        <w:tc>
          <w:tcPr>
            <w:tcW w:w="1240" w:type="dxa"/>
            <w:vMerge/>
            <w:tcBorders>
              <w:top w:val="nil"/>
              <w:left w:val="single" w:sz="8" w:space="0" w:color="auto"/>
              <w:bottom w:val="single" w:sz="4" w:space="0" w:color="000000"/>
              <w:right w:val="single" w:sz="4" w:space="0" w:color="auto"/>
            </w:tcBorders>
            <w:vAlign w:val="center"/>
            <w:hideMark/>
          </w:tcPr>
          <w:p w14:paraId="49E94C0F" w14:textId="77777777" w:rsidR="00902178" w:rsidRPr="00D02AC7" w:rsidRDefault="00902178">
            <w:pPr>
              <w:rPr>
                <w:sz w:val="18"/>
                <w:szCs w:val="18"/>
              </w:rPr>
            </w:pPr>
          </w:p>
        </w:tc>
        <w:tc>
          <w:tcPr>
            <w:tcW w:w="2380" w:type="dxa"/>
            <w:vMerge/>
            <w:tcBorders>
              <w:top w:val="nil"/>
              <w:left w:val="single" w:sz="4" w:space="0" w:color="auto"/>
              <w:bottom w:val="single" w:sz="4" w:space="0" w:color="000000"/>
              <w:right w:val="single" w:sz="4" w:space="0" w:color="auto"/>
            </w:tcBorders>
            <w:vAlign w:val="center"/>
            <w:hideMark/>
          </w:tcPr>
          <w:p w14:paraId="1617B225" w14:textId="77777777" w:rsidR="00902178" w:rsidRPr="00D02AC7" w:rsidRDefault="00902178">
            <w:pPr>
              <w:rPr>
                <w:sz w:val="18"/>
                <w:szCs w:val="18"/>
              </w:rPr>
            </w:pPr>
          </w:p>
        </w:tc>
        <w:tc>
          <w:tcPr>
            <w:tcW w:w="1480" w:type="dxa"/>
            <w:vMerge/>
            <w:tcBorders>
              <w:top w:val="nil"/>
              <w:left w:val="single" w:sz="4" w:space="0" w:color="auto"/>
              <w:bottom w:val="single" w:sz="4" w:space="0" w:color="000000"/>
              <w:right w:val="single" w:sz="4" w:space="0" w:color="auto"/>
            </w:tcBorders>
            <w:vAlign w:val="center"/>
            <w:hideMark/>
          </w:tcPr>
          <w:p w14:paraId="2619EEFD" w14:textId="77777777" w:rsidR="00902178" w:rsidRPr="00D02AC7" w:rsidRDefault="00902178">
            <w:pPr>
              <w:rPr>
                <w:sz w:val="18"/>
                <w:szCs w:val="18"/>
              </w:rPr>
            </w:pPr>
          </w:p>
        </w:tc>
        <w:tc>
          <w:tcPr>
            <w:tcW w:w="1460" w:type="dxa"/>
            <w:tcBorders>
              <w:top w:val="nil"/>
              <w:left w:val="nil"/>
              <w:bottom w:val="single" w:sz="4" w:space="0" w:color="auto"/>
              <w:right w:val="single" w:sz="4" w:space="0" w:color="auto"/>
            </w:tcBorders>
            <w:shd w:val="clear" w:color="000000" w:fill="E3E3E3"/>
            <w:vAlign w:val="center"/>
            <w:hideMark/>
          </w:tcPr>
          <w:p w14:paraId="4BF22691" w14:textId="77777777" w:rsidR="00902178" w:rsidRPr="00D02AC7" w:rsidRDefault="00902178">
            <w:pPr>
              <w:jc w:val="center"/>
              <w:rPr>
                <w:sz w:val="18"/>
                <w:szCs w:val="18"/>
              </w:rPr>
            </w:pPr>
            <w:r w:rsidRPr="00D02AC7">
              <w:rPr>
                <w:sz w:val="18"/>
                <w:szCs w:val="18"/>
              </w:rPr>
              <w:t>unknown</w:t>
            </w:r>
          </w:p>
        </w:tc>
        <w:tc>
          <w:tcPr>
            <w:tcW w:w="1420" w:type="dxa"/>
            <w:tcBorders>
              <w:top w:val="nil"/>
              <w:left w:val="nil"/>
              <w:bottom w:val="single" w:sz="4" w:space="0" w:color="auto"/>
              <w:right w:val="single" w:sz="4" w:space="0" w:color="auto"/>
            </w:tcBorders>
            <w:shd w:val="clear" w:color="000000" w:fill="E3E3E3"/>
            <w:vAlign w:val="center"/>
            <w:hideMark/>
          </w:tcPr>
          <w:p w14:paraId="23BE6D88" w14:textId="77777777" w:rsidR="00902178" w:rsidRPr="00D02AC7" w:rsidRDefault="00902178">
            <w:pPr>
              <w:jc w:val="center"/>
              <w:rPr>
                <w:sz w:val="18"/>
                <w:szCs w:val="18"/>
              </w:rPr>
            </w:pPr>
            <w:r w:rsidRPr="00D02AC7">
              <w:rPr>
                <w:sz w:val="18"/>
                <w:szCs w:val="18"/>
              </w:rPr>
              <w:t>1,250 gal</w:t>
            </w:r>
          </w:p>
        </w:tc>
        <w:tc>
          <w:tcPr>
            <w:tcW w:w="2270" w:type="dxa"/>
            <w:tcBorders>
              <w:top w:val="nil"/>
              <w:left w:val="nil"/>
              <w:bottom w:val="single" w:sz="4" w:space="0" w:color="auto"/>
              <w:right w:val="single" w:sz="4" w:space="0" w:color="auto"/>
            </w:tcBorders>
            <w:shd w:val="clear" w:color="000000" w:fill="E3E3E3"/>
            <w:vAlign w:val="center"/>
          </w:tcPr>
          <w:p w14:paraId="5B7CC09D" w14:textId="01A81F0A" w:rsidR="00902178" w:rsidRPr="00D02AC7" w:rsidRDefault="00902178">
            <w:pPr>
              <w:jc w:val="center"/>
              <w:rPr>
                <w:sz w:val="18"/>
                <w:szCs w:val="18"/>
              </w:rPr>
            </w:pPr>
          </w:p>
        </w:tc>
      </w:tr>
      <w:tr w:rsidR="00902178" w14:paraId="50290E11" w14:textId="77777777" w:rsidTr="00902178">
        <w:trPr>
          <w:trHeight w:val="345"/>
        </w:trPr>
        <w:tc>
          <w:tcPr>
            <w:tcW w:w="1240" w:type="dxa"/>
            <w:vMerge w:val="restart"/>
            <w:tcBorders>
              <w:top w:val="nil"/>
              <w:left w:val="single" w:sz="8" w:space="0" w:color="auto"/>
              <w:bottom w:val="single" w:sz="4" w:space="0" w:color="000000"/>
              <w:right w:val="single" w:sz="4" w:space="0" w:color="auto"/>
            </w:tcBorders>
            <w:shd w:val="clear" w:color="auto" w:fill="auto"/>
            <w:vAlign w:val="center"/>
            <w:hideMark/>
          </w:tcPr>
          <w:p w14:paraId="294183B5" w14:textId="77777777" w:rsidR="00902178" w:rsidRPr="00D02AC7" w:rsidRDefault="00902178">
            <w:pPr>
              <w:jc w:val="center"/>
              <w:rPr>
                <w:sz w:val="18"/>
                <w:szCs w:val="18"/>
              </w:rPr>
            </w:pPr>
            <w:r w:rsidRPr="00D02AC7">
              <w:rPr>
                <w:sz w:val="18"/>
                <w:szCs w:val="18"/>
              </w:rPr>
              <w:t>T-3</w:t>
            </w:r>
          </w:p>
        </w:tc>
        <w:tc>
          <w:tcPr>
            <w:tcW w:w="2380" w:type="dxa"/>
            <w:vMerge w:val="restart"/>
            <w:tcBorders>
              <w:top w:val="nil"/>
              <w:left w:val="single" w:sz="4" w:space="0" w:color="auto"/>
              <w:bottom w:val="single" w:sz="4" w:space="0" w:color="000000"/>
              <w:right w:val="single" w:sz="4" w:space="0" w:color="auto"/>
            </w:tcBorders>
            <w:shd w:val="clear" w:color="auto" w:fill="auto"/>
            <w:vAlign w:val="center"/>
            <w:hideMark/>
          </w:tcPr>
          <w:p w14:paraId="51668474" w14:textId="77777777" w:rsidR="00902178" w:rsidRPr="00D02AC7" w:rsidRDefault="00902178">
            <w:pPr>
              <w:jc w:val="center"/>
              <w:rPr>
                <w:sz w:val="18"/>
                <w:szCs w:val="18"/>
              </w:rPr>
            </w:pPr>
            <w:r w:rsidRPr="00D02AC7">
              <w:rPr>
                <w:sz w:val="18"/>
                <w:szCs w:val="18"/>
              </w:rPr>
              <w:t>Ammonia Tank</w:t>
            </w:r>
          </w:p>
        </w:tc>
        <w:tc>
          <w:tcPr>
            <w:tcW w:w="1480" w:type="dxa"/>
            <w:vMerge w:val="restart"/>
            <w:tcBorders>
              <w:top w:val="nil"/>
              <w:left w:val="single" w:sz="4" w:space="0" w:color="auto"/>
              <w:bottom w:val="single" w:sz="4" w:space="0" w:color="000000"/>
              <w:right w:val="single" w:sz="4" w:space="0" w:color="auto"/>
            </w:tcBorders>
            <w:shd w:val="clear" w:color="auto" w:fill="auto"/>
            <w:vAlign w:val="center"/>
            <w:hideMark/>
          </w:tcPr>
          <w:p w14:paraId="64F43DD7" w14:textId="77777777" w:rsidR="00902178" w:rsidRPr="00D02AC7" w:rsidRDefault="00902178">
            <w:pPr>
              <w:jc w:val="center"/>
              <w:rPr>
                <w:sz w:val="18"/>
                <w:szCs w:val="18"/>
              </w:rPr>
            </w:pPr>
            <w:r w:rsidRPr="00D02AC7">
              <w:rPr>
                <w:sz w:val="18"/>
                <w:szCs w:val="18"/>
              </w:rPr>
              <w:t>unknown</w:t>
            </w:r>
          </w:p>
        </w:tc>
        <w:tc>
          <w:tcPr>
            <w:tcW w:w="1460" w:type="dxa"/>
            <w:tcBorders>
              <w:top w:val="nil"/>
              <w:left w:val="nil"/>
              <w:bottom w:val="single" w:sz="4" w:space="0" w:color="auto"/>
              <w:right w:val="single" w:sz="4" w:space="0" w:color="auto"/>
            </w:tcBorders>
            <w:shd w:val="clear" w:color="auto" w:fill="auto"/>
            <w:vAlign w:val="center"/>
            <w:hideMark/>
          </w:tcPr>
          <w:p w14:paraId="08F549EF" w14:textId="77777777" w:rsidR="00902178" w:rsidRPr="00D02AC7" w:rsidRDefault="00902178">
            <w:pPr>
              <w:jc w:val="center"/>
              <w:rPr>
                <w:sz w:val="18"/>
                <w:szCs w:val="18"/>
              </w:rPr>
            </w:pPr>
            <w:r w:rsidRPr="00D02AC7">
              <w:rPr>
                <w:sz w:val="18"/>
                <w:szCs w:val="18"/>
              </w:rPr>
              <w:t>unknown</w:t>
            </w:r>
          </w:p>
        </w:tc>
        <w:tc>
          <w:tcPr>
            <w:tcW w:w="1420" w:type="dxa"/>
            <w:tcBorders>
              <w:top w:val="nil"/>
              <w:left w:val="nil"/>
              <w:bottom w:val="single" w:sz="4" w:space="0" w:color="auto"/>
              <w:right w:val="single" w:sz="4" w:space="0" w:color="auto"/>
            </w:tcBorders>
            <w:shd w:val="clear" w:color="auto" w:fill="auto"/>
            <w:vAlign w:val="center"/>
            <w:hideMark/>
          </w:tcPr>
          <w:p w14:paraId="45220DB9" w14:textId="77777777" w:rsidR="00902178" w:rsidRPr="00D02AC7" w:rsidRDefault="00902178">
            <w:pPr>
              <w:jc w:val="center"/>
              <w:rPr>
                <w:sz w:val="18"/>
                <w:szCs w:val="18"/>
              </w:rPr>
            </w:pPr>
            <w:r w:rsidRPr="00D02AC7">
              <w:rPr>
                <w:sz w:val="18"/>
                <w:szCs w:val="18"/>
              </w:rPr>
              <w:t>9,000 gal</w:t>
            </w:r>
          </w:p>
        </w:tc>
        <w:tc>
          <w:tcPr>
            <w:tcW w:w="2270" w:type="dxa"/>
            <w:tcBorders>
              <w:top w:val="nil"/>
              <w:left w:val="nil"/>
              <w:bottom w:val="single" w:sz="4" w:space="0" w:color="auto"/>
              <w:right w:val="single" w:sz="4" w:space="0" w:color="auto"/>
            </w:tcBorders>
            <w:shd w:val="clear" w:color="auto" w:fill="auto"/>
            <w:vAlign w:val="center"/>
            <w:hideMark/>
          </w:tcPr>
          <w:p w14:paraId="46753904" w14:textId="77777777" w:rsidR="00902178" w:rsidRPr="00D02AC7" w:rsidRDefault="00902178">
            <w:pPr>
              <w:jc w:val="center"/>
              <w:rPr>
                <w:sz w:val="18"/>
                <w:szCs w:val="18"/>
              </w:rPr>
            </w:pPr>
            <w:r w:rsidRPr="00D02AC7">
              <w:rPr>
                <w:sz w:val="18"/>
                <w:szCs w:val="18"/>
              </w:rPr>
              <w:t>20.2.72.402.C.9</w:t>
            </w:r>
          </w:p>
        </w:tc>
      </w:tr>
      <w:tr w:rsidR="00902178" w14:paraId="701C9032" w14:textId="77777777" w:rsidTr="00902178">
        <w:trPr>
          <w:trHeight w:val="345"/>
        </w:trPr>
        <w:tc>
          <w:tcPr>
            <w:tcW w:w="1240" w:type="dxa"/>
            <w:vMerge/>
            <w:tcBorders>
              <w:top w:val="nil"/>
              <w:left w:val="single" w:sz="8" w:space="0" w:color="auto"/>
              <w:bottom w:val="single" w:sz="4" w:space="0" w:color="000000"/>
              <w:right w:val="single" w:sz="4" w:space="0" w:color="auto"/>
            </w:tcBorders>
            <w:vAlign w:val="center"/>
            <w:hideMark/>
          </w:tcPr>
          <w:p w14:paraId="520D8455" w14:textId="77777777" w:rsidR="00902178" w:rsidRPr="00D02AC7" w:rsidRDefault="00902178">
            <w:pPr>
              <w:rPr>
                <w:sz w:val="18"/>
                <w:szCs w:val="18"/>
              </w:rPr>
            </w:pPr>
          </w:p>
        </w:tc>
        <w:tc>
          <w:tcPr>
            <w:tcW w:w="2380" w:type="dxa"/>
            <w:vMerge/>
            <w:tcBorders>
              <w:top w:val="nil"/>
              <w:left w:val="single" w:sz="4" w:space="0" w:color="auto"/>
              <w:bottom w:val="single" w:sz="4" w:space="0" w:color="000000"/>
              <w:right w:val="single" w:sz="4" w:space="0" w:color="auto"/>
            </w:tcBorders>
            <w:vAlign w:val="center"/>
            <w:hideMark/>
          </w:tcPr>
          <w:p w14:paraId="6B9A88C4" w14:textId="77777777" w:rsidR="00902178" w:rsidRPr="00D02AC7" w:rsidRDefault="00902178">
            <w:pPr>
              <w:rPr>
                <w:sz w:val="18"/>
                <w:szCs w:val="18"/>
              </w:rPr>
            </w:pPr>
          </w:p>
        </w:tc>
        <w:tc>
          <w:tcPr>
            <w:tcW w:w="1480" w:type="dxa"/>
            <w:vMerge/>
            <w:tcBorders>
              <w:top w:val="nil"/>
              <w:left w:val="single" w:sz="4" w:space="0" w:color="auto"/>
              <w:bottom w:val="single" w:sz="4" w:space="0" w:color="000000"/>
              <w:right w:val="single" w:sz="4" w:space="0" w:color="auto"/>
            </w:tcBorders>
            <w:vAlign w:val="center"/>
            <w:hideMark/>
          </w:tcPr>
          <w:p w14:paraId="227DC9E1" w14:textId="77777777" w:rsidR="00902178" w:rsidRPr="00D02AC7" w:rsidRDefault="00902178">
            <w:pPr>
              <w:rPr>
                <w:sz w:val="18"/>
                <w:szCs w:val="18"/>
              </w:rPr>
            </w:pPr>
          </w:p>
        </w:tc>
        <w:tc>
          <w:tcPr>
            <w:tcW w:w="1460" w:type="dxa"/>
            <w:tcBorders>
              <w:top w:val="nil"/>
              <w:left w:val="nil"/>
              <w:bottom w:val="single" w:sz="4" w:space="0" w:color="auto"/>
              <w:right w:val="single" w:sz="4" w:space="0" w:color="auto"/>
            </w:tcBorders>
            <w:shd w:val="clear" w:color="000000" w:fill="E3E3E3"/>
            <w:vAlign w:val="center"/>
            <w:hideMark/>
          </w:tcPr>
          <w:p w14:paraId="4EB68E2F" w14:textId="77777777" w:rsidR="00902178" w:rsidRPr="00D02AC7" w:rsidRDefault="00902178">
            <w:pPr>
              <w:jc w:val="center"/>
              <w:rPr>
                <w:sz w:val="18"/>
                <w:szCs w:val="18"/>
              </w:rPr>
            </w:pPr>
            <w:r w:rsidRPr="00D02AC7">
              <w:rPr>
                <w:sz w:val="18"/>
                <w:szCs w:val="18"/>
              </w:rPr>
              <w:t>unknown</w:t>
            </w:r>
          </w:p>
        </w:tc>
        <w:tc>
          <w:tcPr>
            <w:tcW w:w="1420" w:type="dxa"/>
            <w:tcBorders>
              <w:top w:val="nil"/>
              <w:left w:val="nil"/>
              <w:bottom w:val="single" w:sz="4" w:space="0" w:color="auto"/>
              <w:right w:val="single" w:sz="4" w:space="0" w:color="auto"/>
            </w:tcBorders>
            <w:shd w:val="clear" w:color="000000" w:fill="E3E3E3"/>
            <w:vAlign w:val="center"/>
            <w:hideMark/>
          </w:tcPr>
          <w:p w14:paraId="4C798BEC" w14:textId="77777777" w:rsidR="00902178" w:rsidRPr="00D02AC7" w:rsidRDefault="00902178">
            <w:pPr>
              <w:jc w:val="center"/>
              <w:rPr>
                <w:sz w:val="18"/>
                <w:szCs w:val="18"/>
              </w:rPr>
            </w:pPr>
            <w:r w:rsidRPr="00D02AC7">
              <w:rPr>
                <w:sz w:val="18"/>
                <w:szCs w:val="18"/>
              </w:rPr>
              <w:t>9,000 gal</w:t>
            </w:r>
          </w:p>
        </w:tc>
        <w:tc>
          <w:tcPr>
            <w:tcW w:w="2270" w:type="dxa"/>
            <w:tcBorders>
              <w:top w:val="nil"/>
              <w:left w:val="nil"/>
              <w:bottom w:val="single" w:sz="4" w:space="0" w:color="auto"/>
              <w:right w:val="single" w:sz="4" w:space="0" w:color="auto"/>
            </w:tcBorders>
            <w:shd w:val="clear" w:color="000000" w:fill="E3E3E3"/>
            <w:vAlign w:val="center"/>
          </w:tcPr>
          <w:p w14:paraId="6DF9B752" w14:textId="29BB86BF" w:rsidR="00902178" w:rsidRPr="00D02AC7" w:rsidRDefault="00902178">
            <w:pPr>
              <w:jc w:val="center"/>
              <w:rPr>
                <w:sz w:val="18"/>
                <w:szCs w:val="18"/>
              </w:rPr>
            </w:pPr>
          </w:p>
        </w:tc>
      </w:tr>
      <w:tr w:rsidR="00902178" w14:paraId="7ACFB07F" w14:textId="77777777" w:rsidTr="00902178">
        <w:trPr>
          <w:trHeight w:val="345"/>
        </w:trPr>
        <w:tc>
          <w:tcPr>
            <w:tcW w:w="1240" w:type="dxa"/>
            <w:vMerge w:val="restart"/>
            <w:tcBorders>
              <w:top w:val="nil"/>
              <w:left w:val="single" w:sz="8" w:space="0" w:color="auto"/>
              <w:bottom w:val="single" w:sz="4" w:space="0" w:color="000000"/>
              <w:right w:val="single" w:sz="4" w:space="0" w:color="auto"/>
            </w:tcBorders>
            <w:shd w:val="clear" w:color="auto" w:fill="auto"/>
            <w:vAlign w:val="center"/>
            <w:hideMark/>
          </w:tcPr>
          <w:p w14:paraId="12D4C681" w14:textId="77777777" w:rsidR="00902178" w:rsidRPr="00D02AC7" w:rsidRDefault="00902178">
            <w:pPr>
              <w:jc w:val="center"/>
              <w:rPr>
                <w:sz w:val="18"/>
                <w:szCs w:val="18"/>
              </w:rPr>
            </w:pPr>
            <w:r w:rsidRPr="00D02AC7">
              <w:rPr>
                <w:sz w:val="18"/>
                <w:szCs w:val="18"/>
              </w:rPr>
              <w:t>T-4</w:t>
            </w:r>
          </w:p>
        </w:tc>
        <w:tc>
          <w:tcPr>
            <w:tcW w:w="2380" w:type="dxa"/>
            <w:vMerge w:val="restart"/>
            <w:tcBorders>
              <w:top w:val="nil"/>
              <w:left w:val="single" w:sz="4" w:space="0" w:color="auto"/>
              <w:bottom w:val="single" w:sz="4" w:space="0" w:color="000000"/>
              <w:right w:val="single" w:sz="4" w:space="0" w:color="auto"/>
            </w:tcBorders>
            <w:shd w:val="clear" w:color="auto" w:fill="auto"/>
            <w:vAlign w:val="center"/>
            <w:hideMark/>
          </w:tcPr>
          <w:p w14:paraId="07CFEB8E" w14:textId="77777777" w:rsidR="00902178" w:rsidRPr="00D02AC7" w:rsidRDefault="00902178">
            <w:pPr>
              <w:jc w:val="center"/>
              <w:rPr>
                <w:sz w:val="18"/>
                <w:szCs w:val="18"/>
              </w:rPr>
            </w:pPr>
            <w:r w:rsidRPr="00D02AC7">
              <w:rPr>
                <w:sz w:val="18"/>
                <w:szCs w:val="18"/>
              </w:rPr>
              <w:t>Caustic Bulk Storage Tank</w:t>
            </w:r>
          </w:p>
        </w:tc>
        <w:tc>
          <w:tcPr>
            <w:tcW w:w="1480" w:type="dxa"/>
            <w:vMerge w:val="restart"/>
            <w:tcBorders>
              <w:top w:val="nil"/>
              <w:left w:val="single" w:sz="4" w:space="0" w:color="auto"/>
              <w:bottom w:val="single" w:sz="4" w:space="0" w:color="000000"/>
              <w:right w:val="single" w:sz="4" w:space="0" w:color="auto"/>
            </w:tcBorders>
            <w:shd w:val="clear" w:color="auto" w:fill="auto"/>
            <w:vAlign w:val="center"/>
            <w:hideMark/>
          </w:tcPr>
          <w:p w14:paraId="4E8C4BE6" w14:textId="77777777" w:rsidR="00902178" w:rsidRPr="00D02AC7" w:rsidRDefault="00902178">
            <w:pPr>
              <w:jc w:val="center"/>
              <w:rPr>
                <w:sz w:val="18"/>
                <w:szCs w:val="18"/>
              </w:rPr>
            </w:pPr>
            <w:r w:rsidRPr="00D02AC7">
              <w:rPr>
                <w:sz w:val="18"/>
                <w:szCs w:val="18"/>
              </w:rPr>
              <w:t>unknown</w:t>
            </w:r>
          </w:p>
        </w:tc>
        <w:tc>
          <w:tcPr>
            <w:tcW w:w="1460" w:type="dxa"/>
            <w:tcBorders>
              <w:top w:val="nil"/>
              <w:left w:val="nil"/>
              <w:bottom w:val="single" w:sz="4" w:space="0" w:color="auto"/>
              <w:right w:val="single" w:sz="4" w:space="0" w:color="auto"/>
            </w:tcBorders>
            <w:shd w:val="clear" w:color="auto" w:fill="auto"/>
            <w:vAlign w:val="center"/>
            <w:hideMark/>
          </w:tcPr>
          <w:p w14:paraId="7748A1ED" w14:textId="77777777" w:rsidR="00902178" w:rsidRPr="00D02AC7" w:rsidRDefault="00902178">
            <w:pPr>
              <w:jc w:val="center"/>
              <w:rPr>
                <w:sz w:val="18"/>
                <w:szCs w:val="18"/>
              </w:rPr>
            </w:pPr>
            <w:r w:rsidRPr="00D02AC7">
              <w:rPr>
                <w:sz w:val="18"/>
                <w:szCs w:val="18"/>
              </w:rPr>
              <w:t>unknown</w:t>
            </w:r>
          </w:p>
        </w:tc>
        <w:tc>
          <w:tcPr>
            <w:tcW w:w="1420" w:type="dxa"/>
            <w:tcBorders>
              <w:top w:val="nil"/>
              <w:left w:val="nil"/>
              <w:bottom w:val="single" w:sz="4" w:space="0" w:color="auto"/>
              <w:right w:val="single" w:sz="4" w:space="0" w:color="auto"/>
            </w:tcBorders>
            <w:shd w:val="clear" w:color="auto" w:fill="auto"/>
            <w:vAlign w:val="center"/>
            <w:hideMark/>
          </w:tcPr>
          <w:p w14:paraId="3878E61A" w14:textId="77777777" w:rsidR="00902178" w:rsidRPr="00D02AC7" w:rsidRDefault="00902178">
            <w:pPr>
              <w:jc w:val="center"/>
              <w:rPr>
                <w:sz w:val="18"/>
                <w:szCs w:val="18"/>
              </w:rPr>
            </w:pPr>
            <w:r w:rsidRPr="00D02AC7">
              <w:rPr>
                <w:sz w:val="18"/>
                <w:szCs w:val="18"/>
              </w:rPr>
              <w:t>7,000 gal</w:t>
            </w:r>
          </w:p>
        </w:tc>
        <w:tc>
          <w:tcPr>
            <w:tcW w:w="2270" w:type="dxa"/>
            <w:tcBorders>
              <w:top w:val="nil"/>
              <w:left w:val="nil"/>
              <w:bottom w:val="single" w:sz="4" w:space="0" w:color="auto"/>
              <w:right w:val="single" w:sz="4" w:space="0" w:color="auto"/>
            </w:tcBorders>
            <w:shd w:val="clear" w:color="auto" w:fill="auto"/>
            <w:vAlign w:val="center"/>
            <w:hideMark/>
          </w:tcPr>
          <w:p w14:paraId="11204798" w14:textId="77777777" w:rsidR="00902178" w:rsidRPr="00D02AC7" w:rsidRDefault="00902178">
            <w:pPr>
              <w:jc w:val="center"/>
              <w:rPr>
                <w:sz w:val="18"/>
                <w:szCs w:val="18"/>
              </w:rPr>
            </w:pPr>
            <w:r w:rsidRPr="00D02AC7">
              <w:rPr>
                <w:sz w:val="18"/>
                <w:szCs w:val="18"/>
              </w:rPr>
              <w:t>20.2.72.402.C.9</w:t>
            </w:r>
          </w:p>
        </w:tc>
      </w:tr>
      <w:tr w:rsidR="00902178" w14:paraId="39C9D8D2" w14:textId="77777777" w:rsidTr="00902178">
        <w:trPr>
          <w:trHeight w:val="345"/>
        </w:trPr>
        <w:tc>
          <w:tcPr>
            <w:tcW w:w="1240" w:type="dxa"/>
            <w:vMerge/>
            <w:tcBorders>
              <w:top w:val="nil"/>
              <w:left w:val="single" w:sz="8" w:space="0" w:color="auto"/>
              <w:bottom w:val="single" w:sz="4" w:space="0" w:color="000000"/>
              <w:right w:val="single" w:sz="4" w:space="0" w:color="auto"/>
            </w:tcBorders>
            <w:vAlign w:val="center"/>
            <w:hideMark/>
          </w:tcPr>
          <w:p w14:paraId="0CB2F69E" w14:textId="77777777" w:rsidR="00902178" w:rsidRPr="00D02AC7" w:rsidRDefault="00902178">
            <w:pPr>
              <w:rPr>
                <w:sz w:val="18"/>
                <w:szCs w:val="18"/>
              </w:rPr>
            </w:pPr>
          </w:p>
        </w:tc>
        <w:tc>
          <w:tcPr>
            <w:tcW w:w="2380" w:type="dxa"/>
            <w:vMerge/>
            <w:tcBorders>
              <w:top w:val="nil"/>
              <w:left w:val="single" w:sz="4" w:space="0" w:color="auto"/>
              <w:bottom w:val="single" w:sz="4" w:space="0" w:color="000000"/>
              <w:right w:val="single" w:sz="4" w:space="0" w:color="auto"/>
            </w:tcBorders>
            <w:vAlign w:val="center"/>
            <w:hideMark/>
          </w:tcPr>
          <w:p w14:paraId="48ABD640" w14:textId="77777777" w:rsidR="00902178" w:rsidRPr="00D02AC7" w:rsidRDefault="00902178">
            <w:pPr>
              <w:rPr>
                <w:sz w:val="18"/>
                <w:szCs w:val="18"/>
              </w:rPr>
            </w:pPr>
          </w:p>
        </w:tc>
        <w:tc>
          <w:tcPr>
            <w:tcW w:w="1480" w:type="dxa"/>
            <w:vMerge/>
            <w:tcBorders>
              <w:top w:val="nil"/>
              <w:left w:val="single" w:sz="4" w:space="0" w:color="auto"/>
              <w:bottom w:val="single" w:sz="4" w:space="0" w:color="000000"/>
              <w:right w:val="single" w:sz="4" w:space="0" w:color="auto"/>
            </w:tcBorders>
            <w:vAlign w:val="center"/>
            <w:hideMark/>
          </w:tcPr>
          <w:p w14:paraId="034740B4" w14:textId="77777777" w:rsidR="00902178" w:rsidRPr="00D02AC7" w:rsidRDefault="00902178">
            <w:pPr>
              <w:rPr>
                <w:sz w:val="18"/>
                <w:szCs w:val="18"/>
              </w:rPr>
            </w:pPr>
          </w:p>
        </w:tc>
        <w:tc>
          <w:tcPr>
            <w:tcW w:w="1460" w:type="dxa"/>
            <w:tcBorders>
              <w:top w:val="nil"/>
              <w:left w:val="nil"/>
              <w:bottom w:val="single" w:sz="4" w:space="0" w:color="auto"/>
              <w:right w:val="single" w:sz="4" w:space="0" w:color="auto"/>
            </w:tcBorders>
            <w:shd w:val="clear" w:color="000000" w:fill="D9D9D9"/>
            <w:vAlign w:val="center"/>
            <w:hideMark/>
          </w:tcPr>
          <w:p w14:paraId="5F89D8A2" w14:textId="77777777" w:rsidR="00902178" w:rsidRPr="00D02AC7" w:rsidRDefault="00902178">
            <w:pPr>
              <w:jc w:val="center"/>
              <w:rPr>
                <w:sz w:val="18"/>
                <w:szCs w:val="18"/>
              </w:rPr>
            </w:pPr>
            <w:r w:rsidRPr="00D02AC7">
              <w:rPr>
                <w:sz w:val="18"/>
                <w:szCs w:val="18"/>
              </w:rPr>
              <w:t>unknown</w:t>
            </w:r>
          </w:p>
        </w:tc>
        <w:tc>
          <w:tcPr>
            <w:tcW w:w="1420" w:type="dxa"/>
            <w:tcBorders>
              <w:top w:val="nil"/>
              <w:left w:val="nil"/>
              <w:bottom w:val="single" w:sz="4" w:space="0" w:color="auto"/>
              <w:right w:val="single" w:sz="4" w:space="0" w:color="auto"/>
            </w:tcBorders>
            <w:shd w:val="clear" w:color="000000" w:fill="D9D9D9"/>
            <w:vAlign w:val="center"/>
            <w:hideMark/>
          </w:tcPr>
          <w:p w14:paraId="4648B53E" w14:textId="77777777" w:rsidR="00902178" w:rsidRPr="00D02AC7" w:rsidRDefault="00902178">
            <w:pPr>
              <w:jc w:val="center"/>
              <w:rPr>
                <w:sz w:val="18"/>
                <w:szCs w:val="18"/>
              </w:rPr>
            </w:pPr>
            <w:r w:rsidRPr="00D02AC7">
              <w:rPr>
                <w:sz w:val="18"/>
                <w:szCs w:val="18"/>
              </w:rPr>
              <w:t>7,000 gal</w:t>
            </w:r>
          </w:p>
        </w:tc>
        <w:tc>
          <w:tcPr>
            <w:tcW w:w="2270" w:type="dxa"/>
            <w:tcBorders>
              <w:top w:val="nil"/>
              <w:left w:val="nil"/>
              <w:bottom w:val="single" w:sz="4" w:space="0" w:color="auto"/>
              <w:right w:val="single" w:sz="4" w:space="0" w:color="auto"/>
            </w:tcBorders>
            <w:shd w:val="clear" w:color="000000" w:fill="D9D9D9"/>
            <w:vAlign w:val="center"/>
          </w:tcPr>
          <w:p w14:paraId="6E5DD5B3" w14:textId="1A2D0523" w:rsidR="00902178" w:rsidRPr="00D02AC7" w:rsidRDefault="00902178">
            <w:pPr>
              <w:jc w:val="center"/>
              <w:rPr>
                <w:sz w:val="18"/>
                <w:szCs w:val="18"/>
              </w:rPr>
            </w:pPr>
          </w:p>
        </w:tc>
      </w:tr>
      <w:tr w:rsidR="00902178" w14:paraId="0389C05F" w14:textId="77777777" w:rsidTr="00902178">
        <w:trPr>
          <w:trHeight w:val="345"/>
        </w:trPr>
        <w:tc>
          <w:tcPr>
            <w:tcW w:w="1240" w:type="dxa"/>
            <w:vMerge w:val="restart"/>
            <w:tcBorders>
              <w:top w:val="nil"/>
              <w:left w:val="single" w:sz="8" w:space="0" w:color="auto"/>
              <w:bottom w:val="single" w:sz="4" w:space="0" w:color="000000"/>
              <w:right w:val="single" w:sz="4" w:space="0" w:color="auto"/>
            </w:tcBorders>
            <w:shd w:val="clear" w:color="auto" w:fill="auto"/>
            <w:vAlign w:val="center"/>
            <w:hideMark/>
          </w:tcPr>
          <w:p w14:paraId="0F8FC3EA" w14:textId="77777777" w:rsidR="00902178" w:rsidRPr="00D02AC7" w:rsidRDefault="00902178">
            <w:pPr>
              <w:jc w:val="center"/>
              <w:rPr>
                <w:sz w:val="18"/>
                <w:szCs w:val="18"/>
              </w:rPr>
            </w:pPr>
            <w:r w:rsidRPr="00D02AC7">
              <w:rPr>
                <w:sz w:val="18"/>
                <w:szCs w:val="18"/>
              </w:rPr>
              <w:lastRenderedPageBreak/>
              <w:t>T-5</w:t>
            </w:r>
          </w:p>
        </w:tc>
        <w:tc>
          <w:tcPr>
            <w:tcW w:w="2380" w:type="dxa"/>
            <w:vMerge w:val="restart"/>
            <w:tcBorders>
              <w:top w:val="nil"/>
              <w:left w:val="single" w:sz="4" w:space="0" w:color="auto"/>
              <w:bottom w:val="single" w:sz="4" w:space="0" w:color="000000"/>
              <w:right w:val="single" w:sz="4" w:space="0" w:color="auto"/>
            </w:tcBorders>
            <w:shd w:val="clear" w:color="auto" w:fill="auto"/>
            <w:vAlign w:val="center"/>
            <w:hideMark/>
          </w:tcPr>
          <w:p w14:paraId="195B9066" w14:textId="77777777" w:rsidR="00902178" w:rsidRPr="00D02AC7" w:rsidRDefault="00902178">
            <w:pPr>
              <w:jc w:val="center"/>
              <w:rPr>
                <w:sz w:val="18"/>
                <w:szCs w:val="18"/>
              </w:rPr>
            </w:pPr>
            <w:r w:rsidRPr="00D02AC7">
              <w:rPr>
                <w:sz w:val="18"/>
                <w:szCs w:val="18"/>
              </w:rPr>
              <w:t>Acid Bulk Storage Tank</w:t>
            </w:r>
          </w:p>
        </w:tc>
        <w:tc>
          <w:tcPr>
            <w:tcW w:w="1480" w:type="dxa"/>
            <w:vMerge w:val="restart"/>
            <w:tcBorders>
              <w:top w:val="nil"/>
              <w:left w:val="single" w:sz="4" w:space="0" w:color="auto"/>
              <w:bottom w:val="single" w:sz="4" w:space="0" w:color="000000"/>
              <w:right w:val="single" w:sz="4" w:space="0" w:color="auto"/>
            </w:tcBorders>
            <w:shd w:val="clear" w:color="auto" w:fill="auto"/>
            <w:vAlign w:val="center"/>
            <w:hideMark/>
          </w:tcPr>
          <w:p w14:paraId="68BF48DB" w14:textId="77777777" w:rsidR="00902178" w:rsidRPr="00D02AC7" w:rsidRDefault="00902178">
            <w:pPr>
              <w:jc w:val="center"/>
              <w:rPr>
                <w:sz w:val="18"/>
                <w:szCs w:val="18"/>
              </w:rPr>
            </w:pPr>
            <w:r w:rsidRPr="00D02AC7">
              <w:rPr>
                <w:sz w:val="18"/>
                <w:szCs w:val="18"/>
              </w:rPr>
              <w:t>unknown</w:t>
            </w:r>
          </w:p>
        </w:tc>
        <w:tc>
          <w:tcPr>
            <w:tcW w:w="1460" w:type="dxa"/>
            <w:tcBorders>
              <w:top w:val="nil"/>
              <w:left w:val="nil"/>
              <w:bottom w:val="single" w:sz="4" w:space="0" w:color="auto"/>
              <w:right w:val="single" w:sz="4" w:space="0" w:color="auto"/>
            </w:tcBorders>
            <w:shd w:val="clear" w:color="auto" w:fill="auto"/>
            <w:vAlign w:val="center"/>
            <w:hideMark/>
          </w:tcPr>
          <w:p w14:paraId="0D5AF56B" w14:textId="77777777" w:rsidR="00902178" w:rsidRPr="00D02AC7" w:rsidRDefault="00902178">
            <w:pPr>
              <w:jc w:val="center"/>
              <w:rPr>
                <w:sz w:val="18"/>
                <w:szCs w:val="18"/>
              </w:rPr>
            </w:pPr>
            <w:r w:rsidRPr="00D02AC7">
              <w:rPr>
                <w:sz w:val="18"/>
                <w:szCs w:val="18"/>
              </w:rPr>
              <w:t>unknown</w:t>
            </w:r>
          </w:p>
        </w:tc>
        <w:tc>
          <w:tcPr>
            <w:tcW w:w="1420" w:type="dxa"/>
            <w:tcBorders>
              <w:top w:val="nil"/>
              <w:left w:val="nil"/>
              <w:bottom w:val="single" w:sz="4" w:space="0" w:color="auto"/>
              <w:right w:val="single" w:sz="4" w:space="0" w:color="auto"/>
            </w:tcBorders>
            <w:shd w:val="clear" w:color="auto" w:fill="auto"/>
            <w:vAlign w:val="center"/>
            <w:hideMark/>
          </w:tcPr>
          <w:p w14:paraId="7585C702" w14:textId="77777777" w:rsidR="00902178" w:rsidRPr="00D02AC7" w:rsidRDefault="00902178">
            <w:pPr>
              <w:jc w:val="center"/>
              <w:rPr>
                <w:sz w:val="18"/>
                <w:szCs w:val="18"/>
              </w:rPr>
            </w:pPr>
            <w:r w:rsidRPr="00D02AC7">
              <w:rPr>
                <w:sz w:val="18"/>
                <w:szCs w:val="18"/>
              </w:rPr>
              <w:t xml:space="preserve">7,000 gal </w:t>
            </w:r>
          </w:p>
        </w:tc>
        <w:tc>
          <w:tcPr>
            <w:tcW w:w="2270" w:type="dxa"/>
            <w:tcBorders>
              <w:top w:val="nil"/>
              <w:left w:val="nil"/>
              <w:bottom w:val="single" w:sz="4" w:space="0" w:color="auto"/>
              <w:right w:val="single" w:sz="4" w:space="0" w:color="auto"/>
            </w:tcBorders>
            <w:shd w:val="clear" w:color="auto" w:fill="auto"/>
            <w:vAlign w:val="center"/>
            <w:hideMark/>
          </w:tcPr>
          <w:p w14:paraId="2830A053" w14:textId="77777777" w:rsidR="00902178" w:rsidRPr="00D02AC7" w:rsidRDefault="00902178">
            <w:pPr>
              <w:jc w:val="center"/>
              <w:rPr>
                <w:sz w:val="18"/>
                <w:szCs w:val="18"/>
              </w:rPr>
            </w:pPr>
            <w:r w:rsidRPr="00D02AC7">
              <w:rPr>
                <w:sz w:val="18"/>
                <w:szCs w:val="18"/>
              </w:rPr>
              <w:t>20.2.72.402.C.9</w:t>
            </w:r>
          </w:p>
        </w:tc>
      </w:tr>
      <w:tr w:rsidR="00902178" w14:paraId="308A9C77" w14:textId="77777777" w:rsidTr="00902178">
        <w:trPr>
          <w:trHeight w:val="345"/>
        </w:trPr>
        <w:tc>
          <w:tcPr>
            <w:tcW w:w="1240" w:type="dxa"/>
            <w:vMerge/>
            <w:tcBorders>
              <w:top w:val="nil"/>
              <w:left w:val="single" w:sz="8" w:space="0" w:color="auto"/>
              <w:bottom w:val="single" w:sz="4" w:space="0" w:color="000000"/>
              <w:right w:val="single" w:sz="4" w:space="0" w:color="auto"/>
            </w:tcBorders>
            <w:vAlign w:val="center"/>
            <w:hideMark/>
          </w:tcPr>
          <w:p w14:paraId="56A5A3FF" w14:textId="77777777" w:rsidR="00902178" w:rsidRPr="00D02AC7" w:rsidRDefault="00902178">
            <w:pPr>
              <w:rPr>
                <w:sz w:val="18"/>
                <w:szCs w:val="18"/>
              </w:rPr>
            </w:pPr>
          </w:p>
        </w:tc>
        <w:tc>
          <w:tcPr>
            <w:tcW w:w="2380" w:type="dxa"/>
            <w:vMerge/>
            <w:tcBorders>
              <w:top w:val="nil"/>
              <w:left w:val="single" w:sz="4" w:space="0" w:color="auto"/>
              <w:bottom w:val="single" w:sz="4" w:space="0" w:color="000000"/>
              <w:right w:val="single" w:sz="4" w:space="0" w:color="auto"/>
            </w:tcBorders>
            <w:vAlign w:val="center"/>
            <w:hideMark/>
          </w:tcPr>
          <w:p w14:paraId="2B916347" w14:textId="77777777" w:rsidR="00902178" w:rsidRPr="00D02AC7" w:rsidRDefault="00902178">
            <w:pPr>
              <w:rPr>
                <w:sz w:val="18"/>
                <w:szCs w:val="18"/>
              </w:rPr>
            </w:pPr>
          </w:p>
        </w:tc>
        <w:tc>
          <w:tcPr>
            <w:tcW w:w="1480" w:type="dxa"/>
            <w:vMerge/>
            <w:tcBorders>
              <w:top w:val="nil"/>
              <w:left w:val="single" w:sz="4" w:space="0" w:color="auto"/>
              <w:bottom w:val="single" w:sz="4" w:space="0" w:color="000000"/>
              <w:right w:val="single" w:sz="4" w:space="0" w:color="auto"/>
            </w:tcBorders>
            <w:vAlign w:val="center"/>
            <w:hideMark/>
          </w:tcPr>
          <w:p w14:paraId="039A5504" w14:textId="77777777" w:rsidR="00902178" w:rsidRPr="00D02AC7" w:rsidRDefault="00902178">
            <w:pPr>
              <w:rPr>
                <w:sz w:val="18"/>
                <w:szCs w:val="18"/>
              </w:rPr>
            </w:pPr>
          </w:p>
        </w:tc>
        <w:tc>
          <w:tcPr>
            <w:tcW w:w="1460" w:type="dxa"/>
            <w:tcBorders>
              <w:top w:val="nil"/>
              <w:left w:val="nil"/>
              <w:bottom w:val="single" w:sz="4" w:space="0" w:color="auto"/>
              <w:right w:val="single" w:sz="4" w:space="0" w:color="auto"/>
            </w:tcBorders>
            <w:shd w:val="clear" w:color="000000" w:fill="D9D9D9"/>
            <w:vAlign w:val="center"/>
            <w:hideMark/>
          </w:tcPr>
          <w:p w14:paraId="52BC3319" w14:textId="77777777" w:rsidR="00902178" w:rsidRPr="00D02AC7" w:rsidRDefault="00902178">
            <w:pPr>
              <w:jc w:val="center"/>
              <w:rPr>
                <w:sz w:val="18"/>
                <w:szCs w:val="18"/>
              </w:rPr>
            </w:pPr>
            <w:r w:rsidRPr="00D02AC7">
              <w:rPr>
                <w:sz w:val="18"/>
                <w:szCs w:val="18"/>
              </w:rPr>
              <w:t>unknown</w:t>
            </w:r>
          </w:p>
        </w:tc>
        <w:tc>
          <w:tcPr>
            <w:tcW w:w="1420" w:type="dxa"/>
            <w:tcBorders>
              <w:top w:val="nil"/>
              <w:left w:val="nil"/>
              <w:bottom w:val="single" w:sz="4" w:space="0" w:color="auto"/>
              <w:right w:val="single" w:sz="4" w:space="0" w:color="auto"/>
            </w:tcBorders>
            <w:shd w:val="clear" w:color="000000" w:fill="D9D9D9"/>
            <w:vAlign w:val="center"/>
            <w:hideMark/>
          </w:tcPr>
          <w:p w14:paraId="19012C36" w14:textId="77777777" w:rsidR="00902178" w:rsidRPr="00D02AC7" w:rsidRDefault="00902178">
            <w:pPr>
              <w:jc w:val="center"/>
              <w:rPr>
                <w:sz w:val="18"/>
                <w:szCs w:val="18"/>
              </w:rPr>
            </w:pPr>
            <w:r w:rsidRPr="00D02AC7">
              <w:rPr>
                <w:sz w:val="18"/>
                <w:szCs w:val="18"/>
              </w:rPr>
              <w:t>7,000 gal</w:t>
            </w:r>
          </w:p>
        </w:tc>
        <w:tc>
          <w:tcPr>
            <w:tcW w:w="2270" w:type="dxa"/>
            <w:tcBorders>
              <w:top w:val="nil"/>
              <w:left w:val="nil"/>
              <w:bottom w:val="single" w:sz="4" w:space="0" w:color="auto"/>
              <w:right w:val="single" w:sz="4" w:space="0" w:color="auto"/>
            </w:tcBorders>
            <w:shd w:val="clear" w:color="000000" w:fill="D9D9D9"/>
            <w:vAlign w:val="center"/>
          </w:tcPr>
          <w:p w14:paraId="5D09DD32" w14:textId="4C2AD416" w:rsidR="00902178" w:rsidRPr="00D02AC7" w:rsidRDefault="00902178">
            <w:pPr>
              <w:jc w:val="center"/>
              <w:rPr>
                <w:sz w:val="18"/>
                <w:szCs w:val="18"/>
              </w:rPr>
            </w:pPr>
          </w:p>
        </w:tc>
      </w:tr>
      <w:tr w:rsidR="00902178" w14:paraId="580D4C7E" w14:textId="77777777" w:rsidTr="00902178">
        <w:trPr>
          <w:trHeight w:val="345"/>
        </w:trPr>
        <w:tc>
          <w:tcPr>
            <w:tcW w:w="1240" w:type="dxa"/>
            <w:vMerge w:val="restart"/>
            <w:tcBorders>
              <w:top w:val="nil"/>
              <w:left w:val="single" w:sz="8" w:space="0" w:color="auto"/>
              <w:bottom w:val="single" w:sz="4" w:space="0" w:color="000000"/>
              <w:right w:val="single" w:sz="4" w:space="0" w:color="auto"/>
            </w:tcBorders>
            <w:shd w:val="clear" w:color="auto" w:fill="auto"/>
            <w:vAlign w:val="center"/>
            <w:hideMark/>
          </w:tcPr>
          <w:p w14:paraId="50A14AE2" w14:textId="77777777" w:rsidR="00902178" w:rsidRPr="00D02AC7" w:rsidRDefault="00902178">
            <w:pPr>
              <w:jc w:val="center"/>
              <w:rPr>
                <w:sz w:val="18"/>
                <w:szCs w:val="18"/>
              </w:rPr>
            </w:pPr>
            <w:r w:rsidRPr="00D02AC7">
              <w:rPr>
                <w:sz w:val="18"/>
                <w:szCs w:val="18"/>
              </w:rPr>
              <w:t>T-6</w:t>
            </w:r>
          </w:p>
        </w:tc>
        <w:tc>
          <w:tcPr>
            <w:tcW w:w="2380" w:type="dxa"/>
            <w:vMerge w:val="restart"/>
            <w:tcBorders>
              <w:top w:val="nil"/>
              <w:left w:val="single" w:sz="4" w:space="0" w:color="auto"/>
              <w:bottom w:val="single" w:sz="4" w:space="0" w:color="000000"/>
              <w:right w:val="single" w:sz="4" w:space="0" w:color="auto"/>
            </w:tcBorders>
            <w:shd w:val="clear" w:color="auto" w:fill="auto"/>
            <w:vAlign w:val="center"/>
            <w:hideMark/>
          </w:tcPr>
          <w:p w14:paraId="56C2AF25" w14:textId="77777777" w:rsidR="00902178" w:rsidRPr="00D02AC7" w:rsidRDefault="00902178">
            <w:pPr>
              <w:jc w:val="center"/>
              <w:rPr>
                <w:sz w:val="18"/>
                <w:szCs w:val="18"/>
              </w:rPr>
            </w:pPr>
            <w:r w:rsidRPr="00D02AC7">
              <w:rPr>
                <w:sz w:val="18"/>
                <w:szCs w:val="18"/>
              </w:rPr>
              <w:t>Neutralization Tank</w:t>
            </w:r>
          </w:p>
        </w:tc>
        <w:tc>
          <w:tcPr>
            <w:tcW w:w="1480" w:type="dxa"/>
            <w:vMerge w:val="restart"/>
            <w:tcBorders>
              <w:top w:val="nil"/>
              <w:left w:val="single" w:sz="4" w:space="0" w:color="auto"/>
              <w:bottom w:val="single" w:sz="4" w:space="0" w:color="000000"/>
              <w:right w:val="single" w:sz="4" w:space="0" w:color="auto"/>
            </w:tcBorders>
            <w:shd w:val="clear" w:color="auto" w:fill="auto"/>
            <w:vAlign w:val="center"/>
            <w:hideMark/>
          </w:tcPr>
          <w:p w14:paraId="05C5FFA1" w14:textId="77777777" w:rsidR="00902178" w:rsidRPr="00D02AC7" w:rsidRDefault="00902178">
            <w:pPr>
              <w:jc w:val="center"/>
              <w:rPr>
                <w:sz w:val="18"/>
                <w:szCs w:val="18"/>
              </w:rPr>
            </w:pPr>
            <w:r w:rsidRPr="00D02AC7">
              <w:rPr>
                <w:sz w:val="18"/>
                <w:szCs w:val="18"/>
              </w:rPr>
              <w:t>unknown</w:t>
            </w:r>
          </w:p>
        </w:tc>
        <w:tc>
          <w:tcPr>
            <w:tcW w:w="1460" w:type="dxa"/>
            <w:tcBorders>
              <w:top w:val="nil"/>
              <w:left w:val="nil"/>
              <w:bottom w:val="single" w:sz="4" w:space="0" w:color="auto"/>
              <w:right w:val="single" w:sz="4" w:space="0" w:color="auto"/>
            </w:tcBorders>
            <w:shd w:val="clear" w:color="auto" w:fill="auto"/>
            <w:vAlign w:val="center"/>
            <w:hideMark/>
          </w:tcPr>
          <w:p w14:paraId="17EC6728" w14:textId="77777777" w:rsidR="00902178" w:rsidRPr="00D02AC7" w:rsidRDefault="00902178">
            <w:pPr>
              <w:jc w:val="center"/>
              <w:rPr>
                <w:sz w:val="18"/>
                <w:szCs w:val="18"/>
              </w:rPr>
            </w:pPr>
            <w:r w:rsidRPr="00D02AC7">
              <w:rPr>
                <w:sz w:val="18"/>
                <w:szCs w:val="18"/>
              </w:rPr>
              <w:t>unknown</w:t>
            </w:r>
          </w:p>
        </w:tc>
        <w:tc>
          <w:tcPr>
            <w:tcW w:w="1420" w:type="dxa"/>
            <w:tcBorders>
              <w:top w:val="nil"/>
              <w:left w:val="nil"/>
              <w:bottom w:val="single" w:sz="4" w:space="0" w:color="auto"/>
              <w:right w:val="single" w:sz="4" w:space="0" w:color="auto"/>
            </w:tcBorders>
            <w:shd w:val="clear" w:color="auto" w:fill="auto"/>
            <w:vAlign w:val="center"/>
            <w:hideMark/>
          </w:tcPr>
          <w:p w14:paraId="633E2EB0" w14:textId="77777777" w:rsidR="00902178" w:rsidRPr="00D02AC7" w:rsidRDefault="00902178">
            <w:pPr>
              <w:jc w:val="center"/>
              <w:rPr>
                <w:sz w:val="18"/>
                <w:szCs w:val="18"/>
              </w:rPr>
            </w:pPr>
            <w:r w:rsidRPr="00D02AC7">
              <w:rPr>
                <w:sz w:val="18"/>
                <w:szCs w:val="18"/>
              </w:rPr>
              <w:t>50,000 gal</w:t>
            </w:r>
          </w:p>
        </w:tc>
        <w:tc>
          <w:tcPr>
            <w:tcW w:w="2270" w:type="dxa"/>
            <w:tcBorders>
              <w:top w:val="nil"/>
              <w:left w:val="nil"/>
              <w:bottom w:val="single" w:sz="4" w:space="0" w:color="auto"/>
              <w:right w:val="single" w:sz="4" w:space="0" w:color="auto"/>
            </w:tcBorders>
            <w:shd w:val="clear" w:color="auto" w:fill="auto"/>
            <w:vAlign w:val="center"/>
            <w:hideMark/>
          </w:tcPr>
          <w:p w14:paraId="639208E0" w14:textId="77777777" w:rsidR="00902178" w:rsidRPr="00D02AC7" w:rsidRDefault="00902178">
            <w:pPr>
              <w:jc w:val="center"/>
              <w:rPr>
                <w:sz w:val="18"/>
                <w:szCs w:val="18"/>
              </w:rPr>
            </w:pPr>
            <w:r w:rsidRPr="00D02AC7">
              <w:rPr>
                <w:sz w:val="18"/>
                <w:szCs w:val="18"/>
              </w:rPr>
              <w:t>20.2.72.402.C.9</w:t>
            </w:r>
          </w:p>
        </w:tc>
      </w:tr>
      <w:tr w:rsidR="00902178" w14:paraId="25720184" w14:textId="77777777" w:rsidTr="00902178">
        <w:trPr>
          <w:trHeight w:val="345"/>
        </w:trPr>
        <w:tc>
          <w:tcPr>
            <w:tcW w:w="1240" w:type="dxa"/>
            <w:vMerge/>
            <w:tcBorders>
              <w:top w:val="nil"/>
              <w:left w:val="single" w:sz="8" w:space="0" w:color="auto"/>
              <w:bottom w:val="single" w:sz="4" w:space="0" w:color="000000"/>
              <w:right w:val="single" w:sz="4" w:space="0" w:color="auto"/>
            </w:tcBorders>
            <w:vAlign w:val="center"/>
            <w:hideMark/>
          </w:tcPr>
          <w:p w14:paraId="113C566B" w14:textId="77777777" w:rsidR="00902178" w:rsidRPr="00D02AC7" w:rsidRDefault="00902178">
            <w:pPr>
              <w:rPr>
                <w:sz w:val="18"/>
                <w:szCs w:val="18"/>
              </w:rPr>
            </w:pPr>
          </w:p>
        </w:tc>
        <w:tc>
          <w:tcPr>
            <w:tcW w:w="2380" w:type="dxa"/>
            <w:vMerge/>
            <w:tcBorders>
              <w:top w:val="nil"/>
              <w:left w:val="single" w:sz="4" w:space="0" w:color="auto"/>
              <w:bottom w:val="single" w:sz="4" w:space="0" w:color="000000"/>
              <w:right w:val="single" w:sz="4" w:space="0" w:color="auto"/>
            </w:tcBorders>
            <w:vAlign w:val="center"/>
            <w:hideMark/>
          </w:tcPr>
          <w:p w14:paraId="52CBF5C6" w14:textId="77777777" w:rsidR="00902178" w:rsidRPr="00D02AC7" w:rsidRDefault="00902178">
            <w:pPr>
              <w:rPr>
                <w:sz w:val="18"/>
                <w:szCs w:val="18"/>
              </w:rPr>
            </w:pPr>
          </w:p>
        </w:tc>
        <w:tc>
          <w:tcPr>
            <w:tcW w:w="1480" w:type="dxa"/>
            <w:vMerge/>
            <w:tcBorders>
              <w:top w:val="nil"/>
              <w:left w:val="single" w:sz="4" w:space="0" w:color="auto"/>
              <w:bottom w:val="single" w:sz="4" w:space="0" w:color="000000"/>
              <w:right w:val="single" w:sz="4" w:space="0" w:color="auto"/>
            </w:tcBorders>
            <w:vAlign w:val="center"/>
            <w:hideMark/>
          </w:tcPr>
          <w:p w14:paraId="75A0A1E4" w14:textId="77777777" w:rsidR="00902178" w:rsidRPr="00D02AC7" w:rsidRDefault="00902178">
            <w:pPr>
              <w:rPr>
                <w:sz w:val="18"/>
                <w:szCs w:val="18"/>
              </w:rPr>
            </w:pPr>
          </w:p>
        </w:tc>
        <w:tc>
          <w:tcPr>
            <w:tcW w:w="1460" w:type="dxa"/>
            <w:tcBorders>
              <w:top w:val="nil"/>
              <w:left w:val="nil"/>
              <w:bottom w:val="single" w:sz="4" w:space="0" w:color="auto"/>
              <w:right w:val="single" w:sz="4" w:space="0" w:color="auto"/>
            </w:tcBorders>
            <w:shd w:val="clear" w:color="000000" w:fill="D9D9D9"/>
            <w:vAlign w:val="center"/>
            <w:hideMark/>
          </w:tcPr>
          <w:p w14:paraId="2E6F966C" w14:textId="77777777" w:rsidR="00902178" w:rsidRPr="00D02AC7" w:rsidRDefault="00902178">
            <w:pPr>
              <w:jc w:val="center"/>
              <w:rPr>
                <w:sz w:val="18"/>
                <w:szCs w:val="18"/>
              </w:rPr>
            </w:pPr>
            <w:r w:rsidRPr="00D02AC7">
              <w:rPr>
                <w:sz w:val="18"/>
                <w:szCs w:val="18"/>
              </w:rPr>
              <w:t>unknown</w:t>
            </w:r>
          </w:p>
        </w:tc>
        <w:tc>
          <w:tcPr>
            <w:tcW w:w="1420" w:type="dxa"/>
            <w:tcBorders>
              <w:top w:val="nil"/>
              <w:left w:val="nil"/>
              <w:bottom w:val="single" w:sz="4" w:space="0" w:color="auto"/>
              <w:right w:val="single" w:sz="4" w:space="0" w:color="auto"/>
            </w:tcBorders>
            <w:shd w:val="clear" w:color="000000" w:fill="D9D9D9"/>
            <w:vAlign w:val="center"/>
            <w:hideMark/>
          </w:tcPr>
          <w:p w14:paraId="09EA8AF9" w14:textId="77777777" w:rsidR="00902178" w:rsidRPr="00D02AC7" w:rsidRDefault="00902178">
            <w:pPr>
              <w:jc w:val="center"/>
              <w:rPr>
                <w:sz w:val="18"/>
                <w:szCs w:val="18"/>
              </w:rPr>
            </w:pPr>
            <w:r w:rsidRPr="00D02AC7">
              <w:rPr>
                <w:sz w:val="18"/>
                <w:szCs w:val="18"/>
              </w:rPr>
              <w:t>50,000 gal</w:t>
            </w:r>
          </w:p>
        </w:tc>
        <w:tc>
          <w:tcPr>
            <w:tcW w:w="2270" w:type="dxa"/>
            <w:tcBorders>
              <w:top w:val="nil"/>
              <w:left w:val="nil"/>
              <w:bottom w:val="single" w:sz="4" w:space="0" w:color="auto"/>
              <w:right w:val="single" w:sz="4" w:space="0" w:color="auto"/>
            </w:tcBorders>
            <w:shd w:val="clear" w:color="000000" w:fill="D9D9D9"/>
            <w:vAlign w:val="center"/>
          </w:tcPr>
          <w:p w14:paraId="05E22EDA" w14:textId="22173350" w:rsidR="00902178" w:rsidRPr="00D02AC7" w:rsidRDefault="00902178">
            <w:pPr>
              <w:jc w:val="center"/>
              <w:rPr>
                <w:sz w:val="18"/>
                <w:szCs w:val="18"/>
              </w:rPr>
            </w:pPr>
          </w:p>
        </w:tc>
      </w:tr>
      <w:tr w:rsidR="00902178" w14:paraId="469E1307" w14:textId="77777777" w:rsidTr="00902178">
        <w:trPr>
          <w:trHeight w:val="345"/>
        </w:trPr>
        <w:tc>
          <w:tcPr>
            <w:tcW w:w="1240" w:type="dxa"/>
            <w:vMerge w:val="restart"/>
            <w:tcBorders>
              <w:top w:val="nil"/>
              <w:left w:val="single" w:sz="8" w:space="0" w:color="auto"/>
              <w:bottom w:val="single" w:sz="4" w:space="0" w:color="000000"/>
              <w:right w:val="single" w:sz="4" w:space="0" w:color="auto"/>
            </w:tcBorders>
            <w:shd w:val="clear" w:color="auto" w:fill="auto"/>
            <w:vAlign w:val="center"/>
            <w:hideMark/>
          </w:tcPr>
          <w:p w14:paraId="21B0F966" w14:textId="77777777" w:rsidR="00902178" w:rsidRPr="00D02AC7" w:rsidRDefault="00902178">
            <w:pPr>
              <w:jc w:val="center"/>
              <w:rPr>
                <w:sz w:val="18"/>
                <w:szCs w:val="18"/>
              </w:rPr>
            </w:pPr>
            <w:r w:rsidRPr="00D02AC7">
              <w:rPr>
                <w:sz w:val="18"/>
                <w:szCs w:val="18"/>
              </w:rPr>
              <w:t>AE-1</w:t>
            </w:r>
          </w:p>
        </w:tc>
        <w:tc>
          <w:tcPr>
            <w:tcW w:w="2380" w:type="dxa"/>
            <w:vMerge w:val="restart"/>
            <w:tcBorders>
              <w:top w:val="nil"/>
              <w:left w:val="single" w:sz="4" w:space="0" w:color="auto"/>
              <w:bottom w:val="single" w:sz="4" w:space="0" w:color="000000"/>
              <w:right w:val="single" w:sz="4" w:space="0" w:color="auto"/>
            </w:tcBorders>
            <w:shd w:val="clear" w:color="auto" w:fill="auto"/>
            <w:vAlign w:val="center"/>
            <w:hideMark/>
          </w:tcPr>
          <w:p w14:paraId="1D5C8CBB" w14:textId="77777777" w:rsidR="00902178" w:rsidRPr="00D02AC7" w:rsidRDefault="00902178">
            <w:pPr>
              <w:jc w:val="center"/>
              <w:rPr>
                <w:sz w:val="18"/>
                <w:szCs w:val="18"/>
              </w:rPr>
            </w:pPr>
            <w:r w:rsidRPr="00D02AC7">
              <w:rPr>
                <w:sz w:val="18"/>
                <w:szCs w:val="18"/>
              </w:rPr>
              <w:t>Apex evaporation devices</w:t>
            </w:r>
          </w:p>
        </w:tc>
        <w:tc>
          <w:tcPr>
            <w:tcW w:w="1480" w:type="dxa"/>
            <w:vMerge w:val="restart"/>
            <w:tcBorders>
              <w:top w:val="nil"/>
              <w:left w:val="single" w:sz="4" w:space="0" w:color="auto"/>
              <w:bottom w:val="single" w:sz="4" w:space="0" w:color="000000"/>
              <w:right w:val="single" w:sz="4" w:space="0" w:color="auto"/>
            </w:tcBorders>
            <w:shd w:val="clear" w:color="auto" w:fill="auto"/>
            <w:vAlign w:val="center"/>
            <w:hideMark/>
          </w:tcPr>
          <w:p w14:paraId="028FB123" w14:textId="77777777" w:rsidR="00902178" w:rsidRPr="00D02AC7" w:rsidRDefault="00902178">
            <w:pPr>
              <w:jc w:val="center"/>
              <w:rPr>
                <w:sz w:val="18"/>
                <w:szCs w:val="18"/>
              </w:rPr>
            </w:pPr>
            <w:r w:rsidRPr="00D02AC7">
              <w:rPr>
                <w:sz w:val="18"/>
                <w:szCs w:val="18"/>
              </w:rPr>
              <w:t>unknown</w:t>
            </w:r>
          </w:p>
        </w:tc>
        <w:tc>
          <w:tcPr>
            <w:tcW w:w="1460" w:type="dxa"/>
            <w:tcBorders>
              <w:top w:val="nil"/>
              <w:left w:val="nil"/>
              <w:bottom w:val="single" w:sz="4" w:space="0" w:color="auto"/>
              <w:right w:val="single" w:sz="4" w:space="0" w:color="auto"/>
            </w:tcBorders>
            <w:shd w:val="clear" w:color="auto" w:fill="auto"/>
            <w:vAlign w:val="center"/>
            <w:hideMark/>
          </w:tcPr>
          <w:p w14:paraId="5D8B3EF7" w14:textId="77777777" w:rsidR="00902178" w:rsidRPr="00D02AC7" w:rsidRDefault="00902178">
            <w:pPr>
              <w:jc w:val="center"/>
              <w:rPr>
                <w:sz w:val="18"/>
                <w:szCs w:val="18"/>
              </w:rPr>
            </w:pPr>
            <w:r w:rsidRPr="00D02AC7">
              <w:rPr>
                <w:sz w:val="18"/>
                <w:szCs w:val="18"/>
              </w:rPr>
              <w:t>unknown</w:t>
            </w:r>
          </w:p>
        </w:tc>
        <w:tc>
          <w:tcPr>
            <w:tcW w:w="1420" w:type="dxa"/>
            <w:tcBorders>
              <w:top w:val="nil"/>
              <w:left w:val="nil"/>
              <w:bottom w:val="single" w:sz="4" w:space="0" w:color="auto"/>
              <w:right w:val="single" w:sz="4" w:space="0" w:color="auto"/>
            </w:tcBorders>
            <w:shd w:val="clear" w:color="auto" w:fill="auto"/>
            <w:vAlign w:val="center"/>
            <w:hideMark/>
          </w:tcPr>
          <w:p w14:paraId="41FB6CDD" w14:textId="77777777" w:rsidR="00902178" w:rsidRPr="00D02AC7" w:rsidRDefault="00902178">
            <w:pPr>
              <w:jc w:val="center"/>
              <w:rPr>
                <w:sz w:val="18"/>
                <w:szCs w:val="18"/>
              </w:rPr>
            </w:pPr>
            <w:r w:rsidRPr="00D02AC7">
              <w:rPr>
                <w:sz w:val="18"/>
                <w:szCs w:val="18"/>
              </w:rPr>
              <w:t>unknown</w:t>
            </w:r>
          </w:p>
        </w:tc>
        <w:tc>
          <w:tcPr>
            <w:tcW w:w="2270" w:type="dxa"/>
            <w:tcBorders>
              <w:top w:val="nil"/>
              <w:left w:val="nil"/>
              <w:bottom w:val="single" w:sz="4" w:space="0" w:color="auto"/>
              <w:right w:val="single" w:sz="4" w:space="0" w:color="auto"/>
            </w:tcBorders>
            <w:shd w:val="clear" w:color="auto" w:fill="auto"/>
            <w:vAlign w:val="center"/>
            <w:hideMark/>
          </w:tcPr>
          <w:p w14:paraId="658C30AD" w14:textId="77777777" w:rsidR="00902178" w:rsidRPr="00D02AC7" w:rsidRDefault="00902178">
            <w:pPr>
              <w:jc w:val="center"/>
              <w:rPr>
                <w:sz w:val="18"/>
                <w:szCs w:val="18"/>
              </w:rPr>
            </w:pPr>
            <w:r w:rsidRPr="00D02AC7">
              <w:rPr>
                <w:sz w:val="18"/>
                <w:szCs w:val="18"/>
              </w:rPr>
              <w:t>20.2.72.402.C.9</w:t>
            </w:r>
          </w:p>
        </w:tc>
      </w:tr>
      <w:tr w:rsidR="00902178" w14:paraId="3CF1E176" w14:textId="77777777" w:rsidTr="00902178">
        <w:trPr>
          <w:trHeight w:val="345"/>
        </w:trPr>
        <w:tc>
          <w:tcPr>
            <w:tcW w:w="1240" w:type="dxa"/>
            <w:vMerge/>
            <w:tcBorders>
              <w:top w:val="nil"/>
              <w:left w:val="single" w:sz="8" w:space="0" w:color="auto"/>
              <w:bottom w:val="single" w:sz="4" w:space="0" w:color="000000"/>
              <w:right w:val="single" w:sz="4" w:space="0" w:color="auto"/>
            </w:tcBorders>
            <w:vAlign w:val="center"/>
            <w:hideMark/>
          </w:tcPr>
          <w:p w14:paraId="394CD6E6" w14:textId="77777777" w:rsidR="00902178" w:rsidRPr="00D02AC7" w:rsidRDefault="00902178">
            <w:pPr>
              <w:rPr>
                <w:sz w:val="18"/>
                <w:szCs w:val="18"/>
              </w:rPr>
            </w:pPr>
          </w:p>
        </w:tc>
        <w:tc>
          <w:tcPr>
            <w:tcW w:w="2380" w:type="dxa"/>
            <w:vMerge/>
            <w:tcBorders>
              <w:top w:val="nil"/>
              <w:left w:val="single" w:sz="4" w:space="0" w:color="auto"/>
              <w:bottom w:val="single" w:sz="4" w:space="0" w:color="000000"/>
              <w:right w:val="single" w:sz="4" w:space="0" w:color="auto"/>
            </w:tcBorders>
            <w:vAlign w:val="center"/>
            <w:hideMark/>
          </w:tcPr>
          <w:p w14:paraId="53DD09D9" w14:textId="77777777" w:rsidR="00902178" w:rsidRPr="00D02AC7" w:rsidRDefault="00902178">
            <w:pPr>
              <w:rPr>
                <w:sz w:val="18"/>
                <w:szCs w:val="18"/>
              </w:rPr>
            </w:pPr>
          </w:p>
        </w:tc>
        <w:tc>
          <w:tcPr>
            <w:tcW w:w="1480" w:type="dxa"/>
            <w:vMerge/>
            <w:tcBorders>
              <w:top w:val="nil"/>
              <w:left w:val="single" w:sz="4" w:space="0" w:color="auto"/>
              <w:bottom w:val="single" w:sz="4" w:space="0" w:color="000000"/>
              <w:right w:val="single" w:sz="4" w:space="0" w:color="auto"/>
            </w:tcBorders>
            <w:vAlign w:val="center"/>
            <w:hideMark/>
          </w:tcPr>
          <w:p w14:paraId="61CFB0EE" w14:textId="77777777" w:rsidR="00902178" w:rsidRPr="00D02AC7" w:rsidRDefault="00902178">
            <w:pPr>
              <w:rPr>
                <w:sz w:val="18"/>
                <w:szCs w:val="18"/>
              </w:rPr>
            </w:pPr>
          </w:p>
        </w:tc>
        <w:tc>
          <w:tcPr>
            <w:tcW w:w="1460" w:type="dxa"/>
            <w:tcBorders>
              <w:top w:val="nil"/>
              <w:left w:val="nil"/>
              <w:bottom w:val="single" w:sz="4" w:space="0" w:color="auto"/>
              <w:right w:val="single" w:sz="4" w:space="0" w:color="auto"/>
            </w:tcBorders>
            <w:shd w:val="clear" w:color="000000" w:fill="E3E3E3"/>
            <w:vAlign w:val="center"/>
            <w:hideMark/>
          </w:tcPr>
          <w:p w14:paraId="77C39843" w14:textId="77777777" w:rsidR="00902178" w:rsidRPr="00D02AC7" w:rsidRDefault="00902178">
            <w:pPr>
              <w:jc w:val="center"/>
              <w:rPr>
                <w:sz w:val="18"/>
                <w:szCs w:val="18"/>
              </w:rPr>
            </w:pPr>
            <w:r w:rsidRPr="00D02AC7">
              <w:rPr>
                <w:sz w:val="18"/>
                <w:szCs w:val="18"/>
              </w:rPr>
              <w:t>unknown</w:t>
            </w:r>
          </w:p>
        </w:tc>
        <w:tc>
          <w:tcPr>
            <w:tcW w:w="1420" w:type="dxa"/>
            <w:tcBorders>
              <w:top w:val="nil"/>
              <w:left w:val="nil"/>
              <w:bottom w:val="single" w:sz="4" w:space="0" w:color="auto"/>
              <w:right w:val="single" w:sz="4" w:space="0" w:color="auto"/>
            </w:tcBorders>
            <w:shd w:val="clear" w:color="000000" w:fill="E3E3E3"/>
            <w:vAlign w:val="center"/>
            <w:hideMark/>
          </w:tcPr>
          <w:p w14:paraId="25B54192" w14:textId="77777777" w:rsidR="00902178" w:rsidRPr="00D02AC7" w:rsidRDefault="00902178">
            <w:pPr>
              <w:jc w:val="center"/>
              <w:rPr>
                <w:sz w:val="18"/>
                <w:szCs w:val="18"/>
              </w:rPr>
            </w:pPr>
            <w:r w:rsidRPr="00D02AC7">
              <w:rPr>
                <w:sz w:val="18"/>
                <w:szCs w:val="18"/>
              </w:rPr>
              <w:t>unknown</w:t>
            </w:r>
          </w:p>
        </w:tc>
        <w:tc>
          <w:tcPr>
            <w:tcW w:w="2270" w:type="dxa"/>
            <w:tcBorders>
              <w:top w:val="nil"/>
              <w:left w:val="nil"/>
              <w:bottom w:val="single" w:sz="4" w:space="0" w:color="auto"/>
              <w:right w:val="single" w:sz="4" w:space="0" w:color="auto"/>
            </w:tcBorders>
            <w:shd w:val="clear" w:color="000000" w:fill="E3E3E3"/>
            <w:vAlign w:val="center"/>
          </w:tcPr>
          <w:p w14:paraId="35A14200" w14:textId="6F1841A7" w:rsidR="00902178" w:rsidRPr="00D02AC7" w:rsidRDefault="00902178">
            <w:pPr>
              <w:jc w:val="center"/>
              <w:rPr>
                <w:sz w:val="18"/>
                <w:szCs w:val="18"/>
              </w:rPr>
            </w:pPr>
          </w:p>
        </w:tc>
      </w:tr>
      <w:tr w:rsidR="00A822A9" w14:paraId="50416354" w14:textId="77777777" w:rsidTr="00F72802">
        <w:trPr>
          <w:trHeight w:val="345"/>
        </w:trPr>
        <w:tc>
          <w:tcPr>
            <w:tcW w:w="1240" w:type="dxa"/>
            <w:vMerge w:val="restart"/>
            <w:tcBorders>
              <w:top w:val="nil"/>
              <w:left w:val="single" w:sz="8" w:space="0" w:color="auto"/>
              <w:bottom w:val="single" w:sz="4" w:space="0" w:color="000000"/>
              <w:right w:val="single" w:sz="4" w:space="0" w:color="auto"/>
            </w:tcBorders>
            <w:shd w:val="clear" w:color="auto" w:fill="auto"/>
            <w:vAlign w:val="center"/>
            <w:hideMark/>
          </w:tcPr>
          <w:p w14:paraId="26633FCA" w14:textId="77777777" w:rsidR="00A822A9" w:rsidRPr="00D02AC7" w:rsidRDefault="00A822A9" w:rsidP="00A822A9">
            <w:pPr>
              <w:jc w:val="center"/>
              <w:rPr>
                <w:sz w:val="18"/>
                <w:szCs w:val="18"/>
              </w:rPr>
            </w:pPr>
            <w:r w:rsidRPr="00D02AC7">
              <w:rPr>
                <w:sz w:val="18"/>
                <w:szCs w:val="18"/>
              </w:rPr>
              <w:t>T-7</w:t>
            </w:r>
          </w:p>
        </w:tc>
        <w:tc>
          <w:tcPr>
            <w:tcW w:w="2380" w:type="dxa"/>
            <w:vMerge w:val="restart"/>
            <w:tcBorders>
              <w:top w:val="nil"/>
              <w:left w:val="single" w:sz="4" w:space="0" w:color="auto"/>
              <w:bottom w:val="single" w:sz="4" w:space="0" w:color="000000"/>
              <w:right w:val="single" w:sz="4" w:space="0" w:color="auto"/>
            </w:tcBorders>
            <w:shd w:val="clear" w:color="auto" w:fill="auto"/>
            <w:vAlign w:val="center"/>
            <w:hideMark/>
          </w:tcPr>
          <w:p w14:paraId="4892ECA4" w14:textId="77777777" w:rsidR="00A822A9" w:rsidRPr="00D02AC7" w:rsidRDefault="00A822A9" w:rsidP="00A822A9">
            <w:pPr>
              <w:jc w:val="center"/>
              <w:rPr>
                <w:sz w:val="18"/>
                <w:szCs w:val="18"/>
              </w:rPr>
            </w:pPr>
            <w:r w:rsidRPr="00D02AC7">
              <w:rPr>
                <w:sz w:val="18"/>
                <w:szCs w:val="18"/>
              </w:rPr>
              <w:t>Diesel Tank</w:t>
            </w:r>
          </w:p>
        </w:tc>
        <w:tc>
          <w:tcPr>
            <w:tcW w:w="1480" w:type="dxa"/>
            <w:vMerge w:val="restart"/>
            <w:tcBorders>
              <w:top w:val="nil"/>
              <w:left w:val="single" w:sz="4" w:space="0" w:color="auto"/>
              <w:bottom w:val="single" w:sz="4" w:space="0" w:color="000000"/>
              <w:right w:val="single" w:sz="4" w:space="0" w:color="auto"/>
            </w:tcBorders>
            <w:shd w:val="clear" w:color="auto" w:fill="auto"/>
            <w:vAlign w:val="center"/>
          </w:tcPr>
          <w:p w14:paraId="478D3BA0" w14:textId="7AE32E11" w:rsidR="00A822A9" w:rsidRPr="00D02AC7" w:rsidRDefault="00A822A9" w:rsidP="00A822A9">
            <w:pPr>
              <w:jc w:val="center"/>
              <w:rPr>
                <w:sz w:val="18"/>
                <w:szCs w:val="18"/>
              </w:rPr>
            </w:pPr>
            <w:r>
              <w:rPr>
                <w:sz w:val="18"/>
                <w:szCs w:val="18"/>
              </w:rPr>
              <w:t>TBD</w:t>
            </w:r>
          </w:p>
        </w:tc>
        <w:tc>
          <w:tcPr>
            <w:tcW w:w="1460" w:type="dxa"/>
            <w:tcBorders>
              <w:top w:val="nil"/>
              <w:left w:val="nil"/>
              <w:bottom w:val="single" w:sz="4" w:space="0" w:color="auto"/>
              <w:right w:val="single" w:sz="4" w:space="0" w:color="auto"/>
            </w:tcBorders>
            <w:shd w:val="clear" w:color="auto" w:fill="auto"/>
          </w:tcPr>
          <w:p w14:paraId="1035401F" w14:textId="2E816E11" w:rsidR="00A822A9" w:rsidRPr="00D02AC7" w:rsidRDefault="00A822A9" w:rsidP="00A822A9">
            <w:pPr>
              <w:jc w:val="center"/>
              <w:rPr>
                <w:sz w:val="18"/>
                <w:szCs w:val="18"/>
              </w:rPr>
            </w:pPr>
            <w:r w:rsidRPr="00E83E04">
              <w:t>TBD</w:t>
            </w:r>
          </w:p>
        </w:tc>
        <w:tc>
          <w:tcPr>
            <w:tcW w:w="1420" w:type="dxa"/>
            <w:tcBorders>
              <w:top w:val="nil"/>
              <w:left w:val="nil"/>
              <w:bottom w:val="single" w:sz="4" w:space="0" w:color="auto"/>
              <w:right w:val="single" w:sz="4" w:space="0" w:color="auto"/>
            </w:tcBorders>
            <w:shd w:val="clear" w:color="auto" w:fill="auto"/>
            <w:vAlign w:val="center"/>
            <w:hideMark/>
          </w:tcPr>
          <w:p w14:paraId="65E99451" w14:textId="77777777" w:rsidR="00A822A9" w:rsidRPr="00D02AC7" w:rsidRDefault="00A822A9" w:rsidP="00A822A9">
            <w:pPr>
              <w:jc w:val="center"/>
              <w:rPr>
                <w:sz w:val="18"/>
                <w:szCs w:val="18"/>
              </w:rPr>
            </w:pPr>
            <w:r w:rsidRPr="00D02AC7">
              <w:rPr>
                <w:sz w:val="18"/>
                <w:szCs w:val="18"/>
              </w:rPr>
              <w:t>500 gal</w:t>
            </w:r>
          </w:p>
        </w:tc>
        <w:tc>
          <w:tcPr>
            <w:tcW w:w="2270" w:type="dxa"/>
            <w:tcBorders>
              <w:top w:val="nil"/>
              <w:left w:val="nil"/>
              <w:bottom w:val="single" w:sz="4" w:space="0" w:color="auto"/>
              <w:right w:val="single" w:sz="4" w:space="0" w:color="auto"/>
            </w:tcBorders>
            <w:shd w:val="clear" w:color="auto" w:fill="auto"/>
            <w:vAlign w:val="center"/>
            <w:hideMark/>
          </w:tcPr>
          <w:p w14:paraId="4CEBC3F6" w14:textId="77777777" w:rsidR="00A822A9" w:rsidRPr="00D02AC7" w:rsidRDefault="00A822A9" w:rsidP="00A822A9">
            <w:pPr>
              <w:jc w:val="center"/>
              <w:rPr>
                <w:sz w:val="18"/>
                <w:szCs w:val="18"/>
              </w:rPr>
            </w:pPr>
            <w:r w:rsidRPr="00D02AC7">
              <w:rPr>
                <w:sz w:val="18"/>
                <w:szCs w:val="18"/>
              </w:rPr>
              <w:t>20.2.72.202.B(2)</w:t>
            </w:r>
          </w:p>
        </w:tc>
      </w:tr>
      <w:tr w:rsidR="00A822A9" w14:paraId="59C7E2DA" w14:textId="77777777" w:rsidTr="00F72802">
        <w:trPr>
          <w:trHeight w:val="345"/>
        </w:trPr>
        <w:tc>
          <w:tcPr>
            <w:tcW w:w="1240" w:type="dxa"/>
            <w:vMerge/>
            <w:tcBorders>
              <w:top w:val="nil"/>
              <w:left w:val="single" w:sz="8" w:space="0" w:color="auto"/>
              <w:bottom w:val="single" w:sz="4" w:space="0" w:color="000000"/>
              <w:right w:val="single" w:sz="4" w:space="0" w:color="auto"/>
            </w:tcBorders>
            <w:vAlign w:val="center"/>
            <w:hideMark/>
          </w:tcPr>
          <w:p w14:paraId="778C693A" w14:textId="77777777" w:rsidR="00A822A9" w:rsidRPr="00D02AC7" w:rsidRDefault="00A822A9" w:rsidP="00A822A9">
            <w:pPr>
              <w:rPr>
                <w:sz w:val="18"/>
                <w:szCs w:val="18"/>
              </w:rPr>
            </w:pPr>
          </w:p>
        </w:tc>
        <w:tc>
          <w:tcPr>
            <w:tcW w:w="2380" w:type="dxa"/>
            <w:vMerge/>
            <w:tcBorders>
              <w:top w:val="nil"/>
              <w:left w:val="single" w:sz="4" w:space="0" w:color="auto"/>
              <w:bottom w:val="single" w:sz="4" w:space="0" w:color="000000"/>
              <w:right w:val="single" w:sz="4" w:space="0" w:color="auto"/>
            </w:tcBorders>
            <w:vAlign w:val="center"/>
            <w:hideMark/>
          </w:tcPr>
          <w:p w14:paraId="60ADBC7F" w14:textId="77777777" w:rsidR="00A822A9" w:rsidRPr="00D02AC7" w:rsidRDefault="00A822A9" w:rsidP="00A822A9">
            <w:pPr>
              <w:rPr>
                <w:sz w:val="18"/>
                <w:szCs w:val="18"/>
              </w:rPr>
            </w:pPr>
          </w:p>
        </w:tc>
        <w:tc>
          <w:tcPr>
            <w:tcW w:w="1480" w:type="dxa"/>
            <w:vMerge/>
            <w:tcBorders>
              <w:top w:val="nil"/>
              <w:left w:val="single" w:sz="4" w:space="0" w:color="auto"/>
              <w:bottom w:val="single" w:sz="4" w:space="0" w:color="000000"/>
              <w:right w:val="single" w:sz="4" w:space="0" w:color="auto"/>
            </w:tcBorders>
            <w:vAlign w:val="center"/>
          </w:tcPr>
          <w:p w14:paraId="042539AB" w14:textId="77777777" w:rsidR="00A822A9" w:rsidRPr="00D02AC7" w:rsidRDefault="00A822A9" w:rsidP="00A822A9">
            <w:pPr>
              <w:rPr>
                <w:sz w:val="18"/>
                <w:szCs w:val="18"/>
              </w:rPr>
            </w:pPr>
          </w:p>
        </w:tc>
        <w:tc>
          <w:tcPr>
            <w:tcW w:w="1460" w:type="dxa"/>
            <w:tcBorders>
              <w:top w:val="nil"/>
              <w:left w:val="nil"/>
              <w:bottom w:val="single" w:sz="4" w:space="0" w:color="auto"/>
              <w:right w:val="single" w:sz="4" w:space="0" w:color="auto"/>
            </w:tcBorders>
            <w:shd w:val="clear" w:color="000000" w:fill="E3E3E3"/>
          </w:tcPr>
          <w:p w14:paraId="23220D52" w14:textId="5BB321BA" w:rsidR="00A822A9" w:rsidRPr="00D02AC7" w:rsidRDefault="00A822A9" w:rsidP="00A822A9">
            <w:pPr>
              <w:jc w:val="center"/>
              <w:rPr>
                <w:sz w:val="18"/>
                <w:szCs w:val="18"/>
              </w:rPr>
            </w:pPr>
            <w:r w:rsidRPr="00E83E04">
              <w:t>TBD</w:t>
            </w:r>
          </w:p>
        </w:tc>
        <w:tc>
          <w:tcPr>
            <w:tcW w:w="1420" w:type="dxa"/>
            <w:tcBorders>
              <w:top w:val="nil"/>
              <w:left w:val="nil"/>
              <w:bottom w:val="single" w:sz="4" w:space="0" w:color="auto"/>
              <w:right w:val="single" w:sz="4" w:space="0" w:color="auto"/>
            </w:tcBorders>
            <w:shd w:val="clear" w:color="000000" w:fill="E3E3E3"/>
            <w:vAlign w:val="center"/>
            <w:hideMark/>
          </w:tcPr>
          <w:p w14:paraId="6C65BF1B" w14:textId="77777777" w:rsidR="00A822A9" w:rsidRPr="00D02AC7" w:rsidRDefault="00A822A9" w:rsidP="00A822A9">
            <w:pPr>
              <w:jc w:val="center"/>
              <w:rPr>
                <w:sz w:val="18"/>
                <w:szCs w:val="18"/>
              </w:rPr>
            </w:pPr>
            <w:r w:rsidRPr="00D02AC7">
              <w:rPr>
                <w:sz w:val="18"/>
                <w:szCs w:val="18"/>
              </w:rPr>
              <w:t>500 gal</w:t>
            </w:r>
          </w:p>
        </w:tc>
        <w:tc>
          <w:tcPr>
            <w:tcW w:w="2270" w:type="dxa"/>
            <w:tcBorders>
              <w:top w:val="nil"/>
              <w:left w:val="nil"/>
              <w:bottom w:val="single" w:sz="4" w:space="0" w:color="auto"/>
              <w:right w:val="single" w:sz="4" w:space="0" w:color="auto"/>
            </w:tcBorders>
            <w:shd w:val="clear" w:color="000000" w:fill="E3E3E3"/>
            <w:vAlign w:val="center"/>
          </w:tcPr>
          <w:p w14:paraId="1661511E" w14:textId="109B8959" w:rsidR="00A822A9" w:rsidRPr="00D02AC7" w:rsidRDefault="00A822A9" w:rsidP="00A822A9">
            <w:pPr>
              <w:jc w:val="center"/>
              <w:rPr>
                <w:sz w:val="18"/>
                <w:szCs w:val="18"/>
              </w:rPr>
            </w:pPr>
          </w:p>
        </w:tc>
      </w:tr>
      <w:tr w:rsidR="00A822A9" w14:paraId="41CBC66B" w14:textId="77777777" w:rsidTr="00F72802">
        <w:trPr>
          <w:trHeight w:val="345"/>
        </w:trPr>
        <w:tc>
          <w:tcPr>
            <w:tcW w:w="1240" w:type="dxa"/>
            <w:vMerge w:val="restart"/>
            <w:tcBorders>
              <w:top w:val="nil"/>
              <w:left w:val="single" w:sz="8" w:space="0" w:color="auto"/>
              <w:bottom w:val="single" w:sz="4" w:space="0" w:color="000000"/>
              <w:right w:val="single" w:sz="4" w:space="0" w:color="auto"/>
            </w:tcBorders>
            <w:shd w:val="clear" w:color="auto" w:fill="auto"/>
            <w:vAlign w:val="center"/>
            <w:hideMark/>
          </w:tcPr>
          <w:p w14:paraId="6456BDC1" w14:textId="68CA92DF" w:rsidR="00A822A9" w:rsidRPr="00D02AC7" w:rsidRDefault="00A822A9" w:rsidP="00A822A9">
            <w:pPr>
              <w:jc w:val="center"/>
              <w:rPr>
                <w:sz w:val="18"/>
                <w:szCs w:val="18"/>
              </w:rPr>
            </w:pPr>
            <w:r w:rsidRPr="00D02AC7">
              <w:rPr>
                <w:sz w:val="18"/>
                <w:szCs w:val="18"/>
              </w:rPr>
              <w:t>T-8</w:t>
            </w:r>
          </w:p>
        </w:tc>
        <w:tc>
          <w:tcPr>
            <w:tcW w:w="2380" w:type="dxa"/>
            <w:vMerge w:val="restart"/>
            <w:tcBorders>
              <w:top w:val="nil"/>
              <w:left w:val="single" w:sz="4" w:space="0" w:color="auto"/>
              <w:bottom w:val="single" w:sz="4" w:space="0" w:color="000000"/>
              <w:right w:val="single" w:sz="4" w:space="0" w:color="auto"/>
            </w:tcBorders>
            <w:shd w:val="clear" w:color="auto" w:fill="auto"/>
            <w:vAlign w:val="center"/>
            <w:hideMark/>
          </w:tcPr>
          <w:p w14:paraId="6EBA78EA" w14:textId="77777777" w:rsidR="00A822A9" w:rsidRPr="00D02AC7" w:rsidRDefault="00A822A9" w:rsidP="00A822A9">
            <w:pPr>
              <w:jc w:val="center"/>
              <w:rPr>
                <w:sz w:val="18"/>
                <w:szCs w:val="18"/>
              </w:rPr>
            </w:pPr>
            <w:r w:rsidRPr="00D02AC7">
              <w:rPr>
                <w:sz w:val="18"/>
                <w:szCs w:val="18"/>
              </w:rPr>
              <w:t>Diesel Tank</w:t>
            </w:r>
          </w:p>
        </w:tc>
        <w:tc>
          <w:tcPr>
            <w:tcW w:w="1480" w:type="dxa"/>
            <w:vMerge w:val="restart"/>
            <w:tcBorders>
              <w:top w:val="nil"/>
              <w:left w:val="single" w:sz="4" w:space="0" w:color="auto"/>
              <w:bottom w:val="single" w:sz="4" w:space="0" w:color="000000"/>
              <w:right w:val="single" w:sz="4" w:space="0" w:color="auto"/>
            </w:tcBorders>
            <w:shd w:val="clear" w:color="auto" w:fill="auto"/>
          </w:tcPr>
          <w:p w14:paraId="02BDA71E" w14:textId="604CE22D" w:rsidR="00A822A9" w:rsidRPr="00D02AC7" w:rsidRDefault="00A822A9" w:rsidP="00A822A9">
            <w:pPr>
              <w:jc w:val="center"/>
              <w:rPr>
                <w:sz w:val="18"/>
                <w:szCs w:val="18"/>
              </w:rPr>
            </w:pPr>
            <w:r w:rsidRPr="00BE6C49">
              <w:t>TBD</w:t>
            </w:r>
          </w:p>
        </w:tc>
        <w:tc>
          <w:tcPr>
            <w:tcW w:w="1460" w:type="dxa"/>
            <w:tcBorders>
              <w:top w:val="nil"/>
              <w:left w:val="nil"/>
              <w:bottom w:val="single" w:sz="4" w:space="0" w:color="auto"/>
              <w:right w:val="single" w:sz="4" w:space="0" w:color="auto"/>
            </w:tcBorders>
            <w:shd w:val="clear" w:color="auto" w:fill="auto"/>
          </w:tcPr>
          <w:p w14:paraId="40C0D1FC" w14:textId="66F4770D" w:rsidR="00A822A9" w:rsidRPr="00D02AC7" w:rsidRDefault="00A822A9" w:rsidP="00A822A9">
            <w:pPr>
              <w:jc w:val="center"/>
              <w:rPr>
                <w:sz w:val="18"/>
                <w:szCs w:val="18"/>
              </w:rPr>
            </w:pPr>
            <w:r w:rsidRPr="00E83E04">
              <w:t>TBD</w:t>
            </w:r>
          </w:p>
        </w:tc>
        <w:tc>
          <w:tcPr>
            <w:tcW w:w="1420" w:type="dxa"/>
            <w:tcBorders>
              <w:top w:val="nil"/>
              <w:left w:val="nil"/>
              <w:bottom w:val="single" w:sz="4" w:space="0" w:color="auto"/>
              <w:right w:val="single" w:sz="4" w:space="0" w:color="auto"/>
            </w:tcBorders>
            <w:shd w:val="clear" w:color="auto" w:fill="auto"/>
            <w:vAlign w:val="center"/>
            <w:hideMark/>
          </w:tcPr>
          <w:p w14:paraId="40449135" w14:textId="77777777" w:rsidR="00A822A9" w:rsidRPr="00D02AC7" w:rsidRDefault="00A822A9" w:rsidP="00A822A9">
            <w:pPr>
              <w:jc w:val="center"/>
              <w:rPr>
                <w:sz w:val="18"/>
                <w:szCs w:val="18"/>
              </w:rPr>
            </w:pPr>
            <w:r w:rsidRPr="00D02AC7">
              <w:rPr>
                <w:sz w:val="18"/>
                <w:szCs w:val="18"/>
              </w:rPr>
              <w:t>100 gal</w:t>
            </w:r>
          </w:p>
        </w:tc>
        <w:tc>
          <w:tcPr>
            <w:tcW w:w="2270" w:type="dxa"/>
            <w:tcBorders>
              <w:top w:val="nil"/>
              <w:left w:val="nil"/>
              <w:bottom w:val="single" w:sz="4" w:space="0" w:color="auto"/>
              <w:right w:val="single" w:sz="4" w:space="0" w:color="auto"/>
            </w:tcBorders>
            <w:shd w:val="clear" w:color="auto" w:fill="auto"/>
            <w:vAlign w:val="center"/>
            <w:hideMark/>
          </w:tcPr>
          <w:p w14:paraId="218374E0" w14:textId="16CA4520" w:rsidR="00A822A9" w:rsidRPr="00D02AC7" w:rsidRDefault="00A822A9" w:rsidP="00A822A9">
            <w:pPr>
              <w:jc w:val="center"/>
              <w:rPr>
                <w:sz w:val="18"/>
                <w:szCs w:val="18"/>
              </w:rPr>
            </w:pPr>
            <w:r w:rsidRPr="00D02AC7">
              <w:rPr>
                <w:sz w:val="18"/>
                <w:szCs w:val="18"/>
              </w:rPr>
              <w:t>20.2.72.202.B(2)</w:t>
            </w:r>
          </w:p>
        </w:tc>
      </w:tr>
      <w:tr w:rsidR="00A822A9" w14:paraId="4DCCC1A3" w14:textId="77777777" w:rsidTr="00F72802">
        <w:trPr>
          <w:trHeight w:val="345"/>
        </w:trPr>
        <w:tc>
          <w:tcPr>
            <w:tcW w:w="1240" w:type="dxa"/>
            <w:vMerge/>
            <w:tcBorders>
              <w:top w:val="nil"/>
              <w:left w:val="single" w:sz="8" w:space="0" w:color="auto"/>
              <w:bottom w:val="single" w:sz="4" w:space="0" w:color="000000"/>
              <w:right w:val="single" w:sz="4" w:space="0" w:color="auto"/>
            </w:tcBorders>
            <w:vAlign w:val="center"/>
            <w:hideMark/>
          </w:tcPr>
          <w:p w14:paraId="4187DB5A" w14:textId="77777777" w:rsidR="00A822A9" w:rsidRPr="00D02AC7" w:rsidRDefault="00A822A9" w:rsidP="00A822A9">
            <w:pPr>
              <w:rPr>
                <w:sz w:val="18"/>
                <w:szCs w:val="18"/>
              </w:rPr>
            </w:pPr>
          </w:p>
        </w:tc>
        <w:tc>
          <w:tcPr>
            <w:tcW w:w="2380" w:type="dxa"/>
            <w:vMerge/>
            <w:tcBorders>
              <w:top w:val="nil"/>
              <w:left w:val="single" w:sz="4" w:space="0" w:color="auto"/>
              <w:bottom w:val="single" w:sz="4" w:space="0" w:color="000000"/>
              <w:right w:val="single" w:sz="4" w:space="0" w:color="auto"/>
            </w:tcBorders>
            <w:vAlign w:val="center"/>
            <w:hideMark/>
          </w:tcPr>
          <w:p w14:paraId="13F6D56E" w14:textId="77777777" w:rsidR="00A822A9" w:rsidRPr="00D02AC7" w:rsidRDefault="00A822A9" w:rsidP="00A822A9">
            <w:pPr>
              <w:rPr>
                <w:sz w:val="18"/>
                <w:szCs w:val="18"/>
              </w:rPr>
            </w:pPr>
          </w:p>
        </w:tc>
        <w:tc>
          <w:tcPr>
            <w:tcW w:w="1480" w:type="dxa"/>
            <w:vMerge/>
            <w:tcBorders>
              <w:top w:val="nil"/>
              <w:left w:val="single" w:sz="4" w:space="0" w:color="auto"/>
              <w:bottom w:val="single" w:sz="4" w:space="0" w:color="000000"/>
              <w:right w:val="single" w:sz="4" w:space="0" w:color="auto"/>
            </w:tcBorders>
          </w:tcPr>
          <w:p w14:paraId="7F66863E" w14:textId="77777777" w:rsidR="00A822A9" w:rsidRPr="00D02AC7" w:rsidRDefault="00A822A9" w:rsidP="00A822A9">
            <w:pPr>
              <w:rPr>
                <w:sz w:val="18"/>
                <w:szCs w:val="18"/>
              </w:rPr>
            </w:pPr>
          </w:p>
        </w:tc>
        <w:tc>
          <w:tcPr>
            <w:tcW w:w="1460" w:type="dxa"/>
            <w:tcBorders>
              <w:top w:val="nil"/>
              <w:left w:val="nil"/>
              <w:bottom w:val="single" w:sz="4" w:space="0" w:color="auto"/>
              <w:right w:val="single" w:sz="4" w:space="0" w:color="auto"/>
            </w:tcBorders>
            <w:shd w:val="clear" w:color="000000" w:fill="E3E3E3"/>
          </w:tcPr>
          <w:p w14:paraId="1B38FBF3" w14:textId="22183C33" w:rsidR="00A822A9" w:rsidRPr="00D02AC7" w:rsidRDefault="00A822A9" w:rsidP="00A822A9">
            <w:pPr>
              <w:jc w:val="center"/>
              <w:rPr>
                <w:sz w:val="18"/>
                <w:szCs w:val="18"/>
              </w:rPr>
            </w:pPr>
            <w:r w:rsidRPr="00E83E04">
              <w:t>TBD</w:t>
            </w:r>
          </w:p>
        </w:tc>
        <w:tc>
          <w:tcPr>
            <w:tcW w:w="1420" w:type="dxa"/>
            <w:tcBorders>
              <w:top w:val="nil"/>
              <w:left w:val="nil"/>
              <w:bottom w:val="single" w:sz="4" w:space="0" w:color="auto"/>
              <w:right w:val="single" w:sz="4" w:space="0" w:color="auto"/>
            </w:tcBorders>
            <w:shd w:val="clear" w:color="000000" w:fill="E3E3E3"/>
            <w:vAlign w:val="center"/>
            <w:hideMark/>
          </w:tcPr>
          <w:p w14:paraId="742663D4" w14:textId="77777777" w:rsidR="00A822A9" w:rsidRPr="00D02AC7" w:rsidRDefault="00A822A9" w:rsidP="00A822A9">
            <w:pPr>
              <w:jc w:val="center"/>
              <w:rPr>
                <w:sz w:val="18"/>
                <w:szCs w:val="18"/>
              </w:rPr>
            </w:pPr>
            <w:r w:rsidRPr="00D02AC7">
              <w:rPr>
                <w:sz w:val="18"/>
                <w:szCs w:val="18"/>
              </w:rPr>
              <w:t>100 gal</w:t>
            </w:r>
          </w:p>
        </w:tc>
        <w:tc>
          <w:tcPr>
            <w:tcW w:w="2270" w:type="dxa"/>
            <w:tcBorders>
              <w:top w:val="nil"/>
              <w:left w:val="nil"/>
              <w:bottom w:val="single" w:sz="4" w:space="0" w:color="auto"/>
              <w:right w:val="single" w:sz="4" w:space="0" w:color="auto"/>
            </w:tcBorders>
            <w:shd w:val="clear" w:color="000000" w:fill="E3E3E3"/>
            <w:vAlign w:val="center"/>
          </w:tcPr>
          <w:p w14:paraId="7FD0B1F3" w14:textId="340E4274" w:rsidR="00A822A9" w:rsidRPr="00D02AC7" w:rsidRDefault="00A822A9" w:rsidP="00A822A9">
            <w:pPr>
              <w:jc w:val="center"/>
              <w:rPr>
                <w:sz w:val="18"/>
                <w:szCs w:val="18"/>
              </w:rPr>
            </w:pPr>
          </w:p>
        </w:tc>
      </w:tr>
      <w:tr w:rsidR="00A822A9" w14:paraId="1E0FD2EB" w14:textId="77777777" w:rsidTr="00F72802">
        <w:trPr>
          <w:trHeight w:val="345"/>
        </w:trPr>
        <w:tc>
          <w:tcPr>
            <w:tcW w:w="1240" w:type="dxa"/>
            <w:vMerge w:val="restart"/>
            <w:tcBorders>
              <w:top w:val="nil"/>
              <w:left w:val="single" w:sz="8" w:space="0" w:color="auto"/>
              <w:bottom w:val="single" w:sz="4" w:space="0" w:color="000000"/>
              <w:right w:val="single" w:sz="4" w:space="0" w:color="auto"/>
            </w:tcBorders>
            <w:shd w:val="clear" w:color="auto" w:fill="auto"/>
            <w:vAlign w:val="center"/>
            <w:hideMark/>
          </w:tcPr>
          <w:p w14:paraId="432D7091" w14:textId="5E1A5A7C" w:rsidR="00A822A9" w:rsidRPr="00D02AC7" w:rsidRDefault="00A822A9" w:rsidP="00A822A9">
            <w:pPr>
              <w:jc w:val="center"/>
              <w:rPr>
                <w:sz w:val="18"/>
                <w:szCs w:val="18"/>
              </w:rPr>
            </w:pPr>
            <w:r w:rsidRPr="00D02AC7">
              <w:rPr>
                <w:sz w:val="18"/>
                <w:szCs w:val="18"/>
              </w:rPr>
              <w:t>T-9</w:t>
            </w:r>
          </w:p>
        </w:tc>
        <w:tc>
          <w:tcPr>
            <w:tcW w:w="2380" w:type="dxa"/>
            <w:vMerge w:val="restart"/>
            <w:tcBorders>
              <w:top w:val="nil"/>
              <w:left w:val="single" w:sz="4" w:space="0" w:color="auto"/>
              <w:bottom w:val="single" w:sz="4" w:space="0" w:color="000000"/>
              <w:right w:val="single" w:sz="4" w:space="0" w:color="auto"/>
            </w:tcBorders>
            <w:shd w:val="clear" w:color="auto" w:fill="auto"/>
            <w:vAlign w:val="center"/>
            <w:hideMark/>
          </w:tcPr>
          <w:p w14:paraId="41444929" w14:textId="77777777" w:rsidR="00A822A9" w:rsidRPr="00D02AC7" w:rsidRDefault="00A822A9" w:rsidP="00A822A9">
            <w:pPr>
              <w:jc w:val="center"/>
              <w:rPr>
                <w:sz w:val="18"/>
                <w:szCs w:val="18"/>
              </w:rPr>
            </w:pPr>
            <w:r w:rsidRPr="00D02AC7">
              <w:rPr>
                <w:sz w:val="18"/>
                <w:szCs w:val="18"/>
              </w:rPr>
              <w:t>Gasoline Tank</w:t>
            </w:r>
          </w:p>
        </w:tc>
        <w:tc>
          <w:tcPr>
            <w:tcW w:w="1480" w:type="dxa"/>
            <w:vMerge w:val="restart"/>
            <w:tcBorders>
              <w:top w:val="nil"/>
              <w:left w:val="single" w:sz="4" w:space="0" w:color="auto"/>
              <w:bottom w:val="single" w:sz="4" w:space="0" w:color="000000"/>
              <w:right w:val="single" w:sz="4" w:space="0" w:color="auto"/>
            </w:tcBorders>
            <w:shd w:val="clear" w:color="auto" w:fill="auto"/>
          </w:tcPr>
          <w:p w14:paraId="73B7859B" w14:textId="008DCAC4" w:rsidR="00A822A9" w:rsidRPr="00D02AC7" w:rsidRDefault="00A822A9" w:rsidP="00A822A9">
            <w:pPr>
              <w:jc w:val="center"/>
              <w:rPr>
                <w:sz w:val="18"/>
                <w:szCs w:val="18"/>
              </w:rPr>
            </w:pPr>
            <w:r w:rsidRPr="00BE6C49">
              <w:t>TBD</w:t>
            </w:r>
          </w:p>
        </w:tc>
        <w:tc>
          <w:tcPr>
            <w:tcW w:w="1460" w:type="dxa"/>
            <w:tcBorders>
              <w:top w:val="nil"/>
              <w:left w:val="nil"/>
              <w:bottom w:val="single" w:sz="4" w:space="0" w:color="auto"/>
              <w:right w:val="single" w:sz="4" w:space="0" w:color="auto"/>
            </w:tcBorders>
            <w:shd w:val="clear" w:color="auto" w:fill="auto"/>
          </w:tcPr>
          <w:p w14:paraId="628D71BC" w14:textId="5E508E79" w:rsidR="00A822A9" w:rsidRPr="00D02AC7" w:rsidRDefault="00A822A9" w:rsidP="00A822A9">
            <w:pPr>
              <w:jc w:val="center"/>
              <w:rPr>
                <w:sz w:val="18"/>
                <w:szCs w:val="18"/>
              </w:rPr>
            </w:pPr>
            <w:r w:rsidRPr="00E83E04">
              <w:t>TBD</w:t>
            </w:r>
          </w:p>
        </w:tc>
        <w:tc>
          <w:tcPr>
            <w:tcW w:w="1420" w:type="dxa"/>
            <w:tcBorders>
              <w:top w:val="nil"/>
              <w:left w:val="nil"/>
              <w:bottom w:val="single" w:sz="4" w:space="0" w:color="auto"/>
              <w:right w:val="single" w:sz="4" w:space="0" w:color="auto"/>
            </w:tcBorders>
            <w:shd w:val="clear" w:color="auto" w:fill="auto"/>
            <w:vAlign w:val="center"/>
            <w:hideMark/>
          </w:tcPr>
          <w:p w14:paraId="67511ED3" w14:textId="77777777" w:rsidR="00A822A9" w:rsidRPr="00D02AC7" w:rsidRDefault="00A822A9" w:rsidP="00A822A9">
            <w:pPr>
              <w:jc w:val="center"/>
              <w:rPr>
                <w:sz w:val="18"/>
                <w:szCs w:val="18"/>
              </w:rPr>
            </w:pPr>
            <w:r w:rsidRPr="00D02AC7">
              <w:rPr>
                <w:sz w:val="18"/>
                <w:szCs w:val="18"/>
              </w:rPr>
              <w:t>500 gal</w:t>
            </w:r>
          </w:p>
        </w:tc>
        <w:tc>
          <w:tcPr>
            <w:tcW w:w="2270" w:type="dxa"/>
            <w:tcBorders>
              <w:top w:val="nil"/>
              <w:left w:val="nil"/>
              <w:bottom w:val="single" w:sz="4" w:space="0" w:color="auto"/>
              <w:right w:val="single" w:sz="4" w:space="0" w:color="auto"/>
            </w:tcBorders>
            <w:shd w:val="clear" w:color="auto" w:fill="auto"/>
            <w:vAlign w:val="center"/>
            <w:hideMark/>
          </w:tcPr>
          <w:p w14:paraId="2E186337" w14:textId="6640C6E0" w:rsidR="00A822A9" w:rsidRPr="00D02AC7" w:rsidRDefault="00A822A9" w:rsidP="00A822A9">
            <w:pPr>
              <w:jc w:val="center"/>
              <w:rPr>
                <w:sz w:val="18"/>
                <w:szCs w:val="18"/>
              </w:rPr>
            </w:pPr>
            <w:r w:rsidRPr="00D02AC7">
              <w:rPr>
                <w:sz w:val="18"/>
                <w:szCs w:val="18"/>
              </w:rPr>
              <w:t>20.2.72.202.B(5)</w:t>
            </w:r>
          </w:p>
        </w:tc>
      </w:tr>
      <w:tr w:rsidR="00A822A9" w14:paraId="38C68DE7" w14:textId="77777777" w:rsidTr="00F72802">
        <w:trPr>
          <w:trHeight w:val="345"/>
        </w:trPr>
        <w:tc>
          <w:tcPr>
            <w:tcW w:w="1240" w:type="dxa"/>
            <w:vMerge/>
            <w:tcBorders>
              <w:top w:val="nil"/>
              <w:left w:val="single" w:sz="8" w:space="0" w:color="auto"/>
              <w:bottom w:val="single" w:sz="4" w:space="0" w:color="000000"/>
              <w:right w:val="single" w:sz="4" w:space="0" w:color="auto"/>
            </w:tcBorders>
            <w:vAlign w:val="center"/>
            <w:hideMark/>
          </w:tcPr>
          <w:p w14:paraId="601B40D5" w14:textId="77777777" w:rsidR="00A822A9" w:rsidRPr="00D02AC7" w:rsidRDefault="00A822A9" w:rsidP="00A822A9">
            <w:pPr>
              <w:rPr>
                <w:sz w:val="18"/>
                <w:szCs w:val="18"/>
              </w:rPr>
            </w:pPr>
          </w:p>
        </w:tc>
        <w:tc>
          <w:tcPr>
            <w:tcW w:w="2380" w:type="dxa"/>
            <w:vMerge/>
            <w:tcBorders>
              <w:top w:val="nil"/>
              <w:left w:val="single" w:sz="4" w:space="0" w:color="auto"/>
              <w:bottom w:val="single" w:sz="4" w:space="0" w:color="000000"/>
              <w:right w:val="single" w:sz="4" w:space="0" w:color="auto"/>
            </w:tcBorders>
            <w:vAlign w:val="center"/>
            <w:hideMark/>
          </w:tcPr>
          <w:p w14:paraId="109325D1" w14:textId="77777777" w:rsidR="00A822A9" w:rsidRPr="00D02AC7" w:rsidRDefault="00A822A9" w:rsidP="00A822A9">
            <w:pPr>
              <w:rPr>
                <w:sz w:val="18"/>
                <w:szCs w:val="18"/>
              </w:rPr>
            </w:pPr>
          </w:p>
        </w:tc>
        <w:tc>
          <w:tcPr>
            <w:tcW w:w="1480" w:type="dxa"/>
            <w:vMerge/>
            <w:tcBorders>
              <w:top w:val="nil"/>
              <w:left w:val="single" w:sz="4" w:space="0" w:color="auto"/>
              <w:bottom w:val="single" w:sz="4" w:space="0" w:color="000000"/>
              <w:right w:val="single" w:sz="4" w:space="0" w:color="auto"/>
            </w:tcBorders>
            <w:vAlign w:val="center"/>
          </w:tcPr>
          <w:p w14:paraId="781E6EC1" w14:textId="77777777" w:rsidR="00A822A9" w:rsidRPr="00D02AC7" w:rsidRDefault="00A822A9" w:rsidP="00A822A9">
            <w:pPr>
              <w:rPr>
                <w:sz w:val="18"/>
                <w:szCs w:val="18"/>
              </w:rPr>
            </w:pPr>
          </w:p>
        </w:tc>
        <w:tc>
          <w:tcPr>
            <w:tcW w:w="1460" w:type="dxa"/>
            <w:tcBorders>
              <w:top w:val="nil"/>
              <w:left w:val="nil"/>
              <w:bottom w:val="single" w:sz="4" w:space="0" w:color="auto"/>
              <w:right w:val="single" w:sz="4" w:space="0" w:color="auto"/>
            </w:tcBorders>
            <w:shd w:val="clear" w:color="000000" w:fill="E3E3E3"/>
          </w:tcPr>
          <w:p w14:paraId="428BEC48" w14:textId="075C69EE" w:rsidR="00A822A9" w:rsidRPr="00D02AC7" w:rsidRDefault="00A822A9" w:rsidP="00A822A9">
            <w:pPr>
              <w:jc w:val="center"/>
              <w:rPr>
                <w:sz w:val="18"/>
                <w:szCs w:val="18"/>
              </w:rPr>
            </w:pPr>
            <w:r w:rsidRPr="00E83E04">
              <w:t>TBD</w:t>
            </w:r>
          </w:p>
        </w:tc>
        <w:tc>
          <w:tcPr>
            <w:tcW w:w="1420" w:type="dxa"/>
            <w:tcBorders>
              <w:top w:val="nil"/>
              <w:left w:val="nil"/>
              <w:bottom w:val="single" w:sz="4" w:space="0" w:color="auto"/>
              <w:right w:val="single" w:sz="4" w:space="0" w:color="auto"/>
            </w:tcBorders>
            <w:shd w:val="clear" w:color="000000" w:fill="E3E3E3"/>
            <w:vAlign w:val="center"/>
            <w:hideMark/>
          </w:tcPr>
          <w:p w14:paraId="0CF45DE7" w14:textId="77777777" w:rsidR="00A822A9" w:rsidRPr="00D02AC7" w:rsidRDefault="00A822A9" w:rsidP="00A822A9">
            <w:pPr>
              <w:jc w:val="center"/>
              <w:rPr>
                <w:sz w:val="18"/>
                <w:szCs w:val="18"/>
              </w:rPr>
            </w:pPr>
            <w:r w:rsidRPr="00D02AC7">
              <w:rPr>
                <w:sz w:val="18"/>
                <w:szCs w:val="18"/>
              </w:rPr>
              <w:t>500 gal</w:t>
            </w:r>
          </w:p>
        </w:tc>
        <w:tc>
          <w:tcPr>
            <w:tcW w:w="2270" w:type="dxa"/>
            <w:tcBorders>
              <w:top w:val="nil"/>
              <w:left w:val="nil"/>
              <w:bottom w:val="single" w:sz="4" w:space="0" w:color="auto"/>
              <w:right w:val="single" w:sz="4" w:space="0" w:color="auto"/>
            </w:tcBorders>
            <w:shd w:val="clear" w:color="000000" w:fill="E3E3E3"/>
            <w:vAlign w:val="center"/>
          </w:tcPr>
          <w:p w14:paraId="15C30EEF" w14:textId="7A965055" w:rsidR="00A822A9" w:rsidRPr="00D02AC7" w:rsidRDefault="00A822A9" w:rsidP="00A822A9">
            <w:pPr>
              <w:jc w:val="center"/>
              <w:rPr>
                <w:sz w:val="18"/>
                <w:szCs w:val="18"/>
              </w:rPr>
            </w:pPr>
          </w:p>
        </w:tc>
      </w:tr>
    </w:tbl>
    <w:p w14:paraId="3F379117" w14:textId="77777777" w:rsidR="00A957AC" w:rsidRDefault="00A957AC" w:rsidP="00FA0F04">
      <w:pPr>
        <w:widowControl w:val="0"/>
      </w:pPr>
    </w:p>
    <w:p w14:paraId="51C5FA05" w14:textId="77777777" w:rsidR="003420B1" w:rsidRDefault="003420B1" w:rsidP="00FA0F04">
      <w:pPr>
        <w:widowControl w:val="0"/>
      </w:pPr>
    </w:p>
    <w:p w14:paraId="6E2DBC91" w14:textId="577E845F" w:rsidR="00F3628C" w:rsidRDefault="00F3628C" w:rsidP="00FA0F04">
      <w:pPr>
        <w:widowControl w:val="0"/>
      </w:pPr>
      <w:r>
        <w:t xml:space="preserve">Minor NSR exemptions and Title V insignificant activities do not apply to PSD determinations. </w:t>
      </w:r>
    </w:p>
    <w:p w14:paraId="5693ABEE" w14:textId="77777777" w:rsidR="003420B1" w:rsidRDefault="003420B1" w:rsidP="00FA0F04">
      <w:pPr>
        <w:widowControl w:val="0"/>
      </w:pPr>
    </w:p>
    <w:p w14:paraId="7A379BCE" w14:textId="77777777" w:rsidR="003420B1" w:rsidRDefault="003420B1" w:rsidP="00FA0F04">
      <w:pPr>
        <w:widowControl w:val="0"/>
      </w:pPr>
    </w:p>
    <w:p w14:paraId="42611F94" w14:textId="77777777" w:rsidR="00A957AC" w:rsidRDefault="00A957AC" w:rsidP="00FA0F04">
      <w:pPr>
        <w:widowControl w:val="0"/>
      </w:pPr>
    </w:p>
    <w:p w14:paraId="2305406B" w14:textId="77777777" w:rsidR="00C65288" w:rsidRPr="001F6706" w:rsidRDefault="00C65288" w:rsidP="00FA0F04">
      <w:pPr>
        <w:widowControl w:val="0"/>
        <w:numPr>
          <w:ilvl w:val="0"/>
          <w:numId w:val="1"/>
        </w:numPr>
        <w:jc w:val="both"/>
      </w:pPr>
      <w:r>
        <w:rPr>
          <w:b/>
          <w:bCs/>
          <w:sz w:val="22"/>
          <w:szCs w:val="22"/>
          <w:u w:val="single"/>
        </w:rPr>
        <w:t>New/Modified/Unique Conditions</w:t>
      </w:r>
      <w:r>
        <w:rPr>
          <w:sz w:val="22"/>
          <w:szCs w:val="22"/>
        </w:rPr>
        <w:t xml:space="preserve"> </w:t>
      </w:r>
    </w:p>
    <w:p w14:paraId="1B84FF92" w14:textId="77777777" w:rsidR="001F6706" w:rsidRDefault="001F6706" w:rsidP="001F6706">
      <w:pPr>
        <w:widowControl w:val="0"/>
        <w:jc w:val="both"/>
        <w:rPr>
          <w:sz w:val="22"/>
          <w:szCs w:val="22"/>
        </w:rPr>
      </w:pPr>
    </w:p>
    <w:p w14:paraId="53D653A4" w14:textId="79DA918E" w:rsidR="00B316AA" w:rsidRDefault="00BA7754" w:rsidP="00BA7754">
      <w:pPr>
        <w:pStyle w:val="ListParagraph"/>
        <w:widowControl w:val="0"/>
        <w:numPr>
          <w:ilvl w:val="0"/>
          <w:numId w:val="15"/>
        </w:numPr>
        <w:jc w:val="both"/>
        <w:rPr>
          <w:rFonts w:ascii="Times New Roman" w:hAnsi="Times New Roman"/>
          <w:sz w:val="24"/>
          <w:szCs w:val="24"/>
        </w:rPr>
      </w:pPr>
      <w:bookmarkStart w:id="1" w:name="_Hlk530562331"/>
      <w:r>
        <w:rPr>
          <w:rFonts w:ascii="Times New Roman" w:hAnsi="Times New Roman"/>
          <w:sz w:val="24"/>
          <w:szCs w:val="24"/>
        </w:rPr>
        <w:t xml:space="preserve">The TSP NMAAQS was repealed effective 11/21/18. </w:t>
      </w:r>
      <w:r w:rsidRPr="00BA7754">
        <w:rPr>
          <w:rFonts w:ascii="Times New Roman" w:hAnsi="Times New Roman"/>
          <w:sz w:val="24"/>
          <w:szCs w:val="24"/>
        </w:rPr>
        <w:t xml:space="preserve">PSD Permits </w:t>
      </w:r>
      <w:r>
        <w:rPr>
          <w:rFonts w:ascii="Times New Roman" w:hAnsi="Times New Roman"/>
          <w:sz w:val="24"/>
          <w:szCs w:val="24"/>
        </w:rPr>
        <w:t>must include particulate matter (PM) b</w:t>
      </w:r>
      <w:r w:rsidRPr="00BA7754">
        <w:rPr>
          <w:rFonts w:ascii="Times New Roman" w:hAnsi="Times New Roman"/>
          <w:sz w:val="24"/>
          <w:szCs w:val="24"/>
        </w:rPr>
        <w:t>ecause it is a Regulated New Source Review Pollutant under PSD (20.2.74.7.AS(2) NMAC)</w:t>
      </w:r>
      <w:r>
        <w:rPr>
          <w:rFonts w:ascii="Times New Roman" w:hAnsi="Times New Roman"/>
          <w:sz w:val="24"/>
          <w:szCs w:val="24"/>
        </w:rPr>
        <w:t>.  TSP emission limits in this permit have therefore been redesignated as PM limits; the emission limit values have not changed.</w:t>
      </w:r>
    </w:p>
    <w:bookmarkEnd w:id="1"/>
    <w:p w14:paraId="0E571DFD" w14:textId="4C5AD795" w:rsidR="00DC68BD" w:rsidRDefault="00DC68BD" w:rsidP="00E85A8B">
      <w:pPr>
        <w:pStyle w:val="ListParagraph"/>
        <w:widowControl w:val="0"/>
        <w:numPr>
          <w:ilvl w:val="0"/>
          <w:numId w:val="15"/>
        </w:numPr>
        <w:jc w:val="both"/>
        <w:rPr>
          <w:rFonts w:ascii="Times New Roman" w:hAnsi="Times New Roman"/>
          <w:sz w:val="24"/>
          <w:szCs w:val="24"/>
        </w:rPr>
      </w:pPr>
      <w:r>
        <w:rPr>
          <w:rFonts w:ascii="Times New Roman" w:hAnsi="Times New Roman"/>
          <w:sz w:val="24"/>
          <w:szCs w:val="24"/>
        </w:rPr>
        <w:t>A100A: updated to current permit number</w:t>
      </w:r>
    </w:p>
    <w:p w14:paraId="1D4E5F49" w14:textId="46B0F941" w:rsidR="00B316AA" w:rsidRDefault="00DC68BD" w:rsidP="00E85A8B">
      <w:pPr>
        <w:pStyle w:val="ListParagraph"/>
        <w:widowControl w:val="0"/>
        <w:numPr>
          <w:ilvl w:val="0"/>
          <w:numId w:val="15"/>
        </w:numPr>
        <w:jc w:val="both"/>
        <w:rPr>
          <w:rFonts w:ascii="Times New Roman" w:hAnsi="Times New Roman"/>
          <w:sz w:val="24"/>
          <w:szCs w:val="24"/>
        </w:rPr>
      </w:pPr>
      <w:r>
        <w:rPr>
          <w:rFonts w:ascii="Times New Roman" w:hAnsi="Times New Roman"/>
          <w:sz w:val="24"/>
          <w:szCs w:val="24"/>
        </w:rPr>
        <w:t>A100B: Added fee requirement</w:t>
      </w:r>
      <w:r w:rsidR="00B316AA">
        <w:rPr>
          <w:rFonts w:ascii="Times New Roman" w:hAnsi="Times New Roman"/>
          <w:sz w:val="24"/>
          <w:szCs w:val="24"/>
        </w:rPr>
        <w:t>.</w:t>
      </w:r>
    </w:p>
    <w:p w14:paraId="16852E0D" w14:textId="3C548223" w:rsidR="00DC68BD" w:rsidRDefault="00DC68BD" w:rsidP="00E85A8B">
      <w:pPr>
        <w:pStyle w:val="ListParagraph"/>
        <w:widowControl w:val="0"/>
        <w:numPr>
          <w:ilvl w:val="0"/>
          <w:numId w:val="15"/>
        </w:numPr>
        <w:jc w:val="both"/>
        <w:rPr>
          <w:rFonts w:ascii="Times New Roman" w:hAnsi="Times New Roman"/>
          <w:sz w:val="24"/>
          <w:szCs w:val="24"/>
        </w:rPr>
      </w:pPr>
      <w:r>
        <w:rPr>
          <w:rFonts w:ascii="Times New Roman" w:hAnsi="Times New Roman"/>
          <w:sz w:val="24"/>
          <w:szCs w:val="24"/>
        </w:rPr>
        <w:t>A100C: Added description of modification</w:t>
      </w:r>
    </w:p>
    <w:p w14:paraId="1111467E" w14:textId="3F68A060" w:rsidR="00DC68BD" w:rsidRDefault="00DC68BD" w:rsidP="00E85A8B">
      <w:pPr>
        <w:pStyle w:val="ListParagraph"/>
        <w:widowControl w:val="0"/>
        <w:numPr>
          <w:ilvl w:val="0"/>
          <w:numId w:val="15"/>
        </w:numPr>
        <w:jc w:val="both"/>
        <w:rPr>
          <w:rFonts w:ascii="Times New Roman" w:hAnsi="Times New Roman"/>
          <w:sz w:val="24"/>
          <w:szCs w:val="24"/>
        </w:rPr>
      </w:pPr>
      <w:r>
        <w:rPr>
          <w:rFonts w:ascii="Times New Roman" w:hAnsi="Times New Roman"/>
          <w:sz w:val="24"/>
          <w:szCs w:val="24"/>
        </w:rPr>
        <w:t>Tables 102A and B: Revised emission totals and table header</w:t>
      </w:r>
    </w:p>
    <w:p w14:paraId="2E4B769E" w14:textId="09B54BB8" w:rsidR="00DC68BD" w:rsidRDefault="00F6426E" w:rsidP="00E85A8B">
      <w:pPr>
        <w:pStyle w:val="ListParagraph"/>
        <w:widowControl w:val="0"/>
        <w:numPr>
          <w:ilvl w:val="0"/>
          <w:numId w:val="15"/>
        </w:numPr>
        <w:jc w:val="both"/>
        <w:rPr>
          <w:rFonts w:ascii="Times New Roman" w:hAnsi="Times New Roman"/>
          <w:sz w:val="24"/>
          <w:szCs w:val="24"/>
        </w:rPr>
      </w:pPr>
      <w:r>
        <w:rPr>
          <w:rFonts w:ascii="Times New Roman" w:hAnsi="Times New Roman"/>
          <w:sz w:val="24"/>
          <w:szCs w:val="24"/>
        </w:rPr>
        <w:t>Table A104 added modified 2018 for turbines</w:t>
      </w:r>
    </w:p>
    <w:p w14:paraId="0B26944F" w14:textId="6EA62848" w:rsidR="00F6426E" w:rsidRDefault="00F6426E" w:rsidP="00E85A8B">
      <w:pPr>
        <w:pStyle w:val="ListParagraph"/>
        <w:widowControl w:val="0"/>
        <w:numPr>
          <w:ilvl w:val="0"/>
          <w:numId w:val="15"/>
        </w:numPr>
        <w:jc w:val="both"/>
        <w:rPr>
          <w:rFonts w:ascii="Times New Roman" w:hAnsi="Times New Roman"/>
          <w:sz w:val="24"/>
          <w:szCs w:val="24"/>
        </w:rPr>
      </w:pPr>
      <w:r>
        <w:rPr>
          <w:rFonts w:ascii="Times New Roman" w:hAnsi="Times New Roman"/>
          <w:sz w:val="24"/>
          <w:szCs w:val="24"/>
        </w:rPr>
        <w:t>Table 106 A increased emission for NOx tpy, CO tpy, VOC lb/hr and tpy, so2 lb/hr and tpy, PM lb/hr and tpy.</w:t>
      </w:r>
    </w:p>
    <w:p w14:paraId="776452CE" w14:textId="282B3185" w:rsidR="00F6426E" w:rsidRDefault="00F6426E" w:rsidP="00E85A8B">
      <w:pPr>
        <w:pStyle w:val="ListParagraph"/>
        <w:widowControl w:val="0"/>
        <w:numPr>
          <w:ilvl w:val="0"/>
          <w:numId w:val="15"/>
        </w:numPr>
        <w:jc w:val="both"/>
        <w:rPr>
          <w:rFonts w:ascii="Times New Roman" w:hAnsi="Times New Roman"/>
          <w:sz w:val="24"/>
          <w:szCs w:val="24"/>
        </w:rPr>
      </w:pPr>
      <w:r>
        <w:rPr>
          <w:rFonts w:ascii="Times New Roman" w:hAnsi="Times New Roman"/>
          <w:sz w:val="24"/>
          <w:szCs w:val="24"/>
        </w:rPr>
        <w:t>Deleted condition A108B (restriction on hours of operation)</w:t>
      </w:r>
    </w:p>
    <w:p w14:paraId="01C67D9E" w14:textId="77777777" w:rsidR="00B05FD5" w:rsidRPr="00E85A8B" w:rsidRDefault="00B05FD5" w:rsidP="00FA0F04">
      <w:pPr>
        <w:widowControl w:val="0"/>
        <w:ind w:left="-1080" w:right="-1080" w:firstLine="720"/>
      </w:pPr>
    </w:p>
    <w:p w14:paraId="0DC2CCF6" w14:textId="77777777" w:rsidR="00E407F4" w:rsidRDefault="00E407F4" w:rsidP="00FA0F04">
      <w:pPr>
        <w:widowControl w:val="0"/>
        <w:jc w:val="both"/>
        <w:rPr>
          <w:b/>
          <w:bCs/>
          <w:sz w:val="22"/>
          <w:szCs w:val="22"/>
          <w:u w:val="single"/>
        </w:rPr>
      </w:pPr>
    </w:p>
    <w:p w14:paraId="053DBCE2" w14:textId="77777777" w:rsidR="00E407F4" w:rsidRPr="002E345E" w:rsidRDefault="00E407F4" w:rsidP="00FA0F04">
      <w:pPr>
        <w:widowControl w:val="0"/>
        <w:jc w:val="both"/>
        <w:rPr>
          <w:b/>
          <w:bCs/>
          <w:sz w:val="22"/>
          <w:szCs w:val="22"/>
          <w:u w:val="single"/>
        </w:rPr>
      </w:pPr>
    </w:p>
    <w:p w14:paraId="2C83D077" w14:textId="77777777" w:rsidR="00905E18" w:rsidRPr="00905E18" w:rsidRDefault="00905E18" w:rsidP="00FA0F04">
      <w:pPr>
        <w:widowControl w:val="0"/>
        <w:numPr>
          <w:ilvl w:val="0"/>
          <w:numId w:val="1"/>
        </w:numPr>
        <w:jc w:val="both"/>
      </w:pPr>
      <w:r>
        <w:rPr>
          <w:b/>
          <w:bCs/>
        </w:rPr>
        <w:t>Permit specialist’s n</w:t>
      </w:r>
      <w:r w:rsidRPr="00940D87">
        <w:rPr>
          <w:b/>
          <w:bCs/>
        </w:rPr>
        <w:t xml:space="preserve">otes to </w:t>
      </w:r>
      <w:r>
        <w:rPr>
          <w:b/>
          <w:bCs/>
        </w:rPr>
        <w:t xml:space="preserve">other </w:t>
      </w:r>
      <w:r w:rsidRPr="00940D87">
        <w:rPr>
          <w:b/>
          <w:bCs/>
        </w:rPr>
        <w:t>NSR or Title V permitting staff concerning changes and updates to permit conditions.</w:t>
      </w:r>
      <w:r>
        <w:rPr>
          <w:sz w:val="22"/>
          <w:szCs w:val="22"/>
        </w:rPr>
        <w:t xml:space="preserve">  </w:t>
      </w:r>
    </w:p>
    <w:p w14:paraId="5BBD2F9E" w14:textId="77777777" w:rsidR="005E6A96" w:rsidRPr="005E6A96" w:rsidRDefault="005E6A96" w:rsidP="005E6A96">
      <w:pPr>
        <w:pStyle w:val="ListParagraph"/>
        <w:numPr>
          <w:ilvl w:val="1"/>
          <w:numId w:val="1"/>
        </w:numPr>
        <w:rPr>
          <w:rFonts w:ascii="Times New Roman" w:hAnsi="Times New Roman"/>
          <w:sz w:val="24"/>
          <w:szCs w:val="24"/>
        </w:rPr>
      </w:pPr>
      <w:r w:rsidRPr="005E6A96">
        <w:rPr>
          <w:rFonts w:ascii="Times New Roman" w:hAnsi="Times New Roman"/>
          <w:sz w:val="24"/>
          <w:szCs w:val="24"/>
        </w:rPr>
        <w:t>The TSP NMAAQS was repealed effective 11/21/18. PSD Permits must include particulate matter (PM) because it is a Regulated New Source Review Pollutant under PSD (20.2.74.7.AS(2) NMAC).  TSP emission limits in this permit have therefore been redesignated as PM limits; the emission limit values have not changed.</w:t>
      </w:r>
    </w:p>
    <w:p w14:paraId="1EC281BE" w14:textId="495DD81C" w:rsidR="00B604AF" w:rsidRDefault="00B604AF" w:rsidP="00F6426E">
      <w:pPr>
        <w:widowControl w:val="0"/>
        <w:numPr>
          <w:ilvl w:val="1"/>
          <w:numId w:val="1"/>
        </w:numPr>
        <w:jc w:val="both"/>
      </w:pPr>
      <w:r>
        <w:t>Retroactive PSD applicability determination</w:t>
      </w:r>
      <w:r w:rsidR="00C836B7">
        <w:t>:</w:t>
      </w:r>
      <w:r w:rsidR="00F6426E" w:rsidRPr="00F6426E">
        <w:t xml:space="preserve"> The original application based the proposed project annual emissions on increases due to the turbine upgrade and increase </w:t>
      </w:r>
      <w:r w:rsidR="00F6426E" w:rsidRPr="00F6426E">
        <w:lastRenderedPageBreak/>
        <w:t>in operating hours from 8400 hours per year to 8760 hours per year.  That PSD applicability analysis showed that the PSD Significant Emission Rates (SER) were exceeded only for particulate emissions (TSP/PM10/PM2.5) and CO2e. However, the 8400 operating hours limit per year was included in permit PSD3449-M2 issued 9-5-2014 to maintain emissions below the PSD Significant Emission Rates (SER) for the project authorized under PSD3449-M2.  Relaxing the operating hours restriction therefore triggered a retroactive PSD applicability determination under 20.2.74.300.D NMAC</w:t>
      </w:r>
      <w:r w:rsidR="00F6426E">
        <w:t xml:space="preserve">. </w:t>
      </w:r>
      <w:r w:rsidR="00F6426E" w:rsidRPr="00F6426E">
        <w:t xml:space="preserve">The retroactive PSD applicability assumed that the 2014 project did not include the operating hours restriction.  Without that restriction, the 2014 project would have triggered a BACT review for NOx and SO2 as well as for particulate emissions (TSP/PM10/PM2.5) and CO2e.  The applicant submitted a revised BACT that reassessed the BACT for NOX, SO2, particulate emissions (TSP/PM10/PM2.5), and CO2e.  The BACT analysis is only for the turbines (HOBB-1 and HOBB-2) and duct burners (DB-1 and DB-2) because these are the only units included in both those projects.  </w:t>
      </w:r>
    </w:p>
    <w:p w14:paraId="6DCBD346" w14:textId="77777777" w:rsidR="00C836B7" w:rsidRPr="00B604AF" w:rsidRDefault="00C836B7" w:rsidP="00F6426E">
      <w:pPr>
        <w:widowControl w:val="0"/>
        <w:ind w:left="1080"/>
        <w:jc w:val="both"/>
      </w:pPr>
    </w:p>
    <w:p w14:paraId="0AA7FB53" w14:textId="3F761F3D" w:rsidR="00C27198" w:rsidRDefault="00C836B7" w:rsidP="00C27198">
      <w:pPr>
        <w:widowControl w:val="0"/>
        <w:numPr>
          <w:ilvl w:val="1"/>
          <w:numId w:val="1"/>
        </w:numPr>
        <w:jc w:val="both"/>
      </w:pPr>
      <w:r>
        <w:t xml:space="preserve">The BACT determination is available as a </w:t>
      </w:r>
      <w:r w:rsidR="002716D6">
        <w:t>separate</w:t>
      </w:r>
      <w:r>
        <w:t xml:space="preserve"> document.  AQB reviewed the applicant BACT analysis and concluded that the existing BACT for units HOBB- and HOBB-2 (and their duct burners) still represents BACT for these units</w:t>
      </w:r>
      <w:r w:rsidR="00C27198">
        <w:t>.</w:t>
      </w:r>
    </w:p>
    <w:sectPr w:rsidR="00C27198">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D64520" w14:textId="77777777" w:rsidR="00EC615B" w:rsidRDefault="00EC615B" w:rsidP="00472DF8">
      <w:pPr>
        <w:rPr>
          <w:rStyle w:val="PageNumber"/>
        </w:rPr>
      </w:pPr>
      <w:r>
        <w:rPr>
          <w:rStyle w:val="PageNumber"/>
        </w:rPr>
        <w:separator/>
      </w:r>
    </w:p>
  </w:endnote>
  <w:endnote w:type="continuationSeparator" w:id="0">
    <w:p w14:paraId="6BDC5D45" w14:textId="77777777" w:rsidR="00EC615B" w:rsidRDefault="00EC615B" w:rsidP="00472DF8">
      <w:pPr>
        <w:rPr>
          <w:rStyle w:val="PageNumber"/>
        </w:rPr>
      </w:pPr>
      <w:r>
        <w:rPr>
          <w:rStyle w:val="PageNumbe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altName w:val=" Verdan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853E8" w14:textId="393BB02D" w:rsidR="00EC615B" w:rsidRDefault="00EC615B">
    <w:pPr>
      <w:pStyle w:val="Footer"/>
    </w:pPr>
    <w:r>
      <w:t>Print Date: 10/6/15</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714B9E" w14:textId="77777777" w:rsidR="00EC615B" w:rsidRDefault="00EC615B" w:rsidP="00472DF8">
      <w:pPr>
        <w:rPr>
          <w:rStyle w:val="PageNumber"/>
        </w:rPr>
      </w:pPr>
      <w:r>
        <w:rPr>
          <w:rStyle w:val="PageNumber"/>
        </w:rPr>
        <w:separator/>
      </w:r>
    </w:p>
  </w:footnote>
  <w:footnote w:type="continuationSeparator" w:id="0">
    <w:p w14:paraId="4B635716" w14:textId="77777777" w:rsidR="00EC615B" w:rsidRDefault="00EC615B" w:rsidP="00472DF8">
      <w:pPr>
        <w:rPr>
          <w:rStyle w:val="PageNumber"/>
        </w:rPr>
      </w:pPr>
      <w:r>
        <w:rPr>
          <w:rStyle w:val="PageNumber"/>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045C1"/>
    <w:multiLevelType w:val="hybridMultilevel"/>
    <w:tmpl w:val="26C47F8A"/>
    <w:lvl w:ilvl="0" w:tplc="04090011">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15:restartNumberingAfterBreak="0">
    <w:nsid w:val="2F5A4254"/>
    <w:multiLevelType w:val="hybridMultilevel"/>
    <w:tmpl w:val="BBAC4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D479CE"/>
    <w:multiLevelType w:val="multilevel"/>
    <w:tmpl w:val="A72CC5A2"/>
    <w:lvl w:ilvl="0">
      <w:start w:val="1"/>
      <w:numFmt w:val="decimal"/>
      <w:lvlText w:val="%1.0"/>
      <w:lvlJc w:val="left"/>
      <w:pPr>
        <w:tabs>
          <w:tab w:val="num" w:pos="720"/>
        </w:tabs>
        <w:ind w:left="720" w:hanging="720"/>
      </w:pPr>
      <w:rPr>
        <w:rFonts w:cs="Times New Roman"/>
        <w:b w:val="0"/>
        <w:u w:val="none"/>
      </w:rPr>
    </w:lvl>
    <w:lvl w:ilvl="1">
      <w:start w:val="1"/>
      <w:numFmt w:val="upperLetter"/>
      <w:lvlText w:val="%2."/>
      <w:lvlJc w:val="left"/>
      <w:pPr>
        <w:tabs>
          <w:tab w:val="num" w:pos="1080"/>
        </w:tabs>
        <w:ind w:left="1080" w:hanging="360"/>
      </w:pPr>
      <w:rPr>
        <w:rFonts w:cs="Times New Roman"/>
        <w:u w:val="none"/>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600"/>
        </w:tabs>
        <w:ind w:left="3600" w:hanging="72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3" w15:restartNumberingAfterBreak="0">
    <w:nsid w:val="42033942"/>
    <w:multiLevelType w:val="hybridMultilevel"/>
    <w:tmpl w:val="87D8D2D2"/>
    <w:lvl w:ilvl="0" w:tplc="2A62438A">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15:restartNumberingAfterBreak="0">
    <w:nsid w:val="45076CAB"/>
    <w:multiLevelType w:val="multilevel"/>
    <w:tmpl w:val="278C6BD6"/>
    <w:lvl w:ilvl="0">
      <w:start w:val="1"/>
      <w:numFmt w:val="upperLetter"/>
      <w:pStyle w:val="AQBHPart"/>
      <w:lvlText w:val="Part %1"/>
      <w:lvlJc w:val="left"/>
      <w:pPr>
        <w:tabs>
          <w:tab w:val="num" w:pos="360"/>
        </w:tabs>
        <w:ind w:left="360" w:hanging="360"/>
      </w:pPr>
      <w:rPr>
        <w:rFonts w:cs="Times New Roman" w:hint="default"/>
      </w:rPr>
    </w:lvl>
    <w:lvl w:ilvl="1">
      <w:start w:val="100"/>
      <w:numFmt w:val="decimal"/>
      <w:pStyle w:val="AQBHSection100"/>
      <w:lvlText w:val="%1%2"/>
      <w:lvlJc w:val="left"/>
      <w:pPr>
        <w:tabs>
          <w:tab w:val="num" w:pos="810"/>
        </w:tabs>
        <w:ind w:left="810" w:hanging="72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3"/>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 w15:restartNumberingAfterBreak="0">
    <w:nsid w:val="47DB6DC2"/>
    <w:multiLevelType w:val="hybridMultilevel"/>
    <w:tmpl w:val="C1987C8A"/>
    <w:lvl w:ilvl="0" w:tplc="90DA812A">
      <w:numFmt w:val="bullet"/>
      <w:lvlText w:val="-"/>
      <w:lvlJc w:val="left"/>
      <w:pPr>
        <w:ind w:left="1500" w:hanging="360"/>
      </w:pPr>
      <w:rPr>
        <w:rFonts w:ascii="Times New Roman" w:eastAsia="Times New Roman" w:hAnsi="Times New Roman" w:hint="default"/>
      </w:rPr>
    </w:lvl>
    <w:lvl w:ilvl="1" w:tplc="04090003" w:tentative="1">
      <w:start w:val="1"/>
      <w:numFmt w:val="bullet"/>
      <w:lvlText w:val="o"/>
      <w:lvlJc w:val="left"/>
      <w:pPr>
        <w:ind w:left="2220" w:hanging="360"/>
      </w:pPr>
      <w:rPr>
        <w:rFonts w:ascii="Courier New" w:hAnsi="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6" w15:restartNumberingAfterBreak="0">
    <w:nsid w:val="4E2B118D"/>
    <w:multiLevelType w:val="hybridMultilevel"/>
    <w:tmpl w:val="8FAEA6B0"/>
    <w:lvl w:ilvl="0" w:tplc="B3BA6992">
      <w:start w:val="3"/>
      <w:numFmt w:val="upperLetter"/>
      <w:pStyle w:val="AQBCLvl-1"/>
      <w:lvlText w:val="%1."/>
      <w:lvlJc w:val="left"/>
      <w:pPr>
        <w:tabs>
          <w:tab w:val="num" w:pos="1123"/>
        </w:tabs>
        <w:ind w:left="1123" w:hanging="576"/>
      </w:pPr>
      <w:rPr>
        <w:rFonts w:ascii="Times New Roman" w:hAnsi="Times New Roman" w:cs="Times New Roman" w:hint="default"/>
        <w:b w:val="0"/>
        <w:bCs w:val="0"/>
        <w:i w:val="0"/>
        <w:iCs w:val="0"/>
        <w:caps w:val="0"/>
        <w:smallCaps w:val="0"/>
        <w:strike w:val="0"/>
        <w:dstrike w:val="0"/>
        <w:snapToGrid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94403FA">
      <w:start w:val="1"/>
      <w:numFmt w:val="decimal"/>
      <w:pStyle w:val="AQBCLvl-2"/>
      <w:lvlText w:val="(%2)"/>
      <w:lvlJc w:val="right"/>
      <w:pPr>
        <w:tabs>
          <w:tab w:val="num" w:pos="1440"/>
        </w:tabs>
        <w:ind w:left="1440" w:hanging="360"/>
      </w:pPr>
      <w:rPr>
        <w:rFonts w:cs="Times New Roman" w:hint="default"/>
      </w:rPr>
    </w:lvl>
    <w:lvl w:ilvl="2" w:tplc="3FA8690E">
      <w:start w:val="1"/>
      <w:numFmt w:val="lowerLetter"/>
      <w:pStyle w:val="AQBCLvl-3"/>
      <w:lvlText w:val="(%3)"/>
      <w:lvlJc w:val="left"/>
      <w:pPr>
        <w:tabs>
          <w:tab w:val="num" w:pos="2160"/>
        </w:tabs>
        <w:ind w:left="2160" w:hanging="720"/>
      </w:pPr>
      <w:rPr>
        <w:rFonts w:ascii="Times New Roman" w:hAnsi="Times New Roman" w:cs="Times New Roman" w:hint="default"/>
        <w:b w:val="0"/>
        <w:bCs w:val="0"/>
        <w:i w:val="0"/>
        <w:iCs w:val="0"/>
        <w:caps w:val="0"/>
        <w:smallCaps w:val="0"/>
        <w:strike w:val="0"/>
        <w:dstrike w:val="0"/>
        <w:snapToGrid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lowerRoman"/>
      <w:pStyle w:val="AQBCLvl-4"/>
      <w:lvlText w:val="%4."/>
      <w:lvlJc w:val="right"/>
      <w:pPr>
        <w:tabs>
          <w:tab w:val="num" w:pos="2880"/>
        </w:tabs>
        <w:ind w:left="2880" w:hanging="360"/>
      </w:pPr>
      <w:rPr>
        <w:rFonts w:cs="Times New Roman" w:hint="default"/>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 w15:restartNumberingAfterBreak="0">
    <w:nsid w:val="58254F13"/>
    <w:multiLevelType w:val="hybridMultilevel"/>
    <w:tmpl w:val="B11E4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C504C1"/>
    <w:multiLevelType w:val="hybridMultilevel"/>
    <w:tmpl w:val="82E4DB30"/>
    <w:lvl w:ilvl="0" w:tplc="264A32FE">
      <w:start w:val="1"/>
      <w:numFmt w:val="upperRoman"/>
      <w:lvlText w:val="%1."/>
      <w:lvlJc w:val="left"/>
      <w:pPr>
        <w:ind w:left="1440" w:hanging="72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9" w15:restartNumberingAfterBreak="0">
    <w:nsid w:val="774D0FFC"/>
    <w:multiLevelType w:val="hybridMultilevel"/>
    <w:tmpl w:val="B6CAE406"/>
    <w:lvl w:ilvl="0" w:tplc="A4CCA9FC">
      <w:start w:val="1"/>
      <w:numFmt w:val="upperLetter"/>
      <w:lvlText w:val="%1."/>
      <w:lvlJc w:val="left"/>
      <w:pPr>
        <w:tabs>
          <w:tab w:val="num" w:pos="1080"/>
        </w:tabs>
        <w:ind w:left="1080" w:hanging="360"/>
      </w:pPr>
      <w:rPr>
        <w:rFonts w:cs="Times New Roman" w:hint="default"/>
        <w:b w:val="0"/>
        <w:bCs w:val="0"/>
        <w:color w:val="auto"/>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num w:numId="1">
    <w:abstractNumId w:val="2"/>
  </w:num>
  <w:num w:numId="2">
    <w:abstractNumId w:val="9"/>
  </w:num>
  <w:num w:numId="3">
    <w:abstractNumId w:val="6"/>
  </w:num>
  <w:num w:numId="4">
    <w:abstractNumId w:val="6"/>
    <w:lvlOverride w:ilvl="0">
      <w:startOverride w:val="1"/>
    </w:lvlOverride>
  </w:num>
  <w:num w:numId="5">
    <w:abstractNumId w:val="5"/>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7"/>
  </w:num>
  <w:num w:numId="10">
    <w:abstractNumId w:val="4"/>
  </w:num>
  <w:num w:numId="11">
    <w:abstractNumId w:val="4"/>
    <w:lvlOverride w:ilvl="0">
      <w:startOverride w:val="1"/>
    </w:lvlOverride>
    <w:lvlOverride w:ilvl="1">
      <w:startOverride w:val="402"/>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00"/>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00"/>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3B7"/>
    <w:rsid w:val="0000163E"/>
    <w:rsid w:val="00004155"/>
    <w:rsid w:val="0000783A"/>
    <w:rsid w:val="00017C8E"/>
    <w:rsid w:val="00020013"/>
    <w:rsid w:val="000235A7"/>
    <w:rsid w:val="000237E5"/>
    <w:rsid w:val="00024A24"/>
    <w:rsid w:val="00024A4D"/>
    <w:rsid w:val="000255D0"/>
    <w:rsid w:val="0002589F"/>
    <w:rsid w:val="00027A98"/>
    <w:rsid w:val="00027B74"/>
    <w:rsid w:val="00033AF1"/>
    <w:rsid w:val="000363F7"/>
    <w:rsid w:val="00037226"/>
    <w:rsid w:val="00042142"/>
    <w:rsid w:val="00051E22"/>
    <w:rsid w:val="000554AD"/>
    <w:rsid w:val="0005711E"/>
    <w:rsid w:val="0005772E"/>
    <w:rsid w:val="000619C3"/>
    <w:rsid w:val="00063F45"/>
    <w:rsid w:val="00065BA2"/>
    <w:rsid w:val="00066940"/>
    <w:rsid w:val="000673CD"/>
    <w:rsid w:val="00070E5D"/>
    <w:rsid w:val="000754E7"/>
    <w:rsid w:val="00075BAC"/>
    <w:rsid w:val="00084899"/>
    <w:rsid w:val="000854EA"/>
    <w:rsid w:val="00086760"/>
    <w:rsid w:val="00086C93"/>
    <w:rsid w:val="00092922"/>
    <w:rsid w:val="00093735"/>
    <w:rsid w:val="00095C86"/>
    <w:rsid w:val="000977E7"/>
    <w:rsid w:val="000A4F18"/>
    <w:rsid w:val="000A6047"/>
    <w:rsid w:val="000A638E"/>
    <w:rsid w:val="000A7955"/>
    <w:rsid w:val="000A7A60"/>
    <w:rsid w:val="000B001E"/>
    <w:rsid w:val="000B5293"/>
    <w:rsid w:val="000C15D7"/>
    <w:rsid w:val="000C2386"/>
    <w:rsid w:val="000C4C3B"/>
    <w:rsid w:val="000C5DDA"/>
    <w:rsid w:val="000C6CB4"/>
    <w:rsid w:val="000D237A"/>
    <w:rsid w:val="000D435D"/>
    <w:rsid w:val="000E354A"/>
    <w:rsid w:val="000E4882"/>
    <w:rsid w:val="000F3537"/>
    <w:rsid w:val="001000E5"/>
    <w:rsid w:val="00102814"/>
    <w:rsid w:val="001037BC"/>
    <w:rsid w:val="00103E0F"/>
    <w:rsid w:val="00106463"/>
    <w:rsid w:val="00106A58"/>
    <w:rsid w:val="00112AD5"/>
    <w:rsid w:val="0011418F"/>
    <w:rsid w:val="00114B2B"/>
    <w:rsid w:val="00115481"/>
    <w:rsid w:val="001159D6"/>
    <w:rsid w:val="00120DF3"/>
    <w:rsid w:val="00121DC5"/>
    <w:rsid w:val="00121E78"/>
    <w:rsid w:val="00124E35"/>
    <w:rsid w:val="0013681D"/>
    <w:rsid w:val="00145027"/>
    <w:rsid w:val="001450AF"/>
    <w:rsid w:val="0015048E"/>
    <w:rsid w:val="00152E32"/>
    <w:rsid w:val="00154439"/>
    <w:rsid w:val="0015748D"/>
    <w:rsid w:val="00161704"/>
    <w:rsid w:val="001626ED"/>
    <w:rsid w:val="001630FB"/>
    <w:rsid w:val="001652ED"/>
    <w:rsid w:val="0018090B"/>
    <w:rsid w:val="001821D2"/>
    <w:rsid w:val="00183191"/>
    <w:rsid w:val="0018452C"/>
    <w:rsid w:val="00186DC8"/>
    <w:rsid w:val="0019264A"/>
    <w:rsid w:val="001934C4"/>
    <w:rsid w:val="001939BF"/>
    <w:rsid w:val="001949DA"/>
    <w:rsid w:val="00195DC7"/>
    <w:rsid w:val="00196EBB"/>
    <w:rsid w:val="001A0E30"/>
    <w:rsid w:val="001A12C7"/>
    <w:rsid w:val="001A1636"/>
    <w:rsid w:val="001A2910"/>
    <w:rsid w:val="001A3FAC"/>
    <w:rsid w:val="001A4214"/>
    <w:rsid w:val="001A6308"/>
    <w:rsid w:val="001A725D"/>
    <w:rsid w:val="001B7049"/>
    <w:rsid w:val="001B79A0"/>
    <w:rsid w:val="001C17AC"/>
    <w:rsid w:val="001D2870"/>
    <w:rsid w:val="001E4AD3"/>
    <w:rsid w:val="001F5163"/>
    <w:rsid w:val="001F5E04"/>
    <w:rsid w:val="001F6706"/>
    <w:rsid w:val="0020224E"/>
    <w:rsid w:val="00203A8D"/>
    <w:rsid w:val="00207240"/>
    <w:rsid w:val="002216B7"/>
    <w:rsid w:val="00221F7D"/>
    <w:rsid w:val="00223CB0"/>
    <w:rsid w:val="00224DF1"/>
    <w:rsid w:val="00230762"/>
    <w:rsid w:val="002320D8"/>
    <w:rsid w:val="0023566C"/>
    <w:rsid w:val="00237225"/>
    <w:rsid w:val="00243324"/>
    <w:rsid w:val="00247776"/>
    <w:rsid w:val="00250E27"/>
    <w:rsid w:val="00253451"/>
    <w:rsid w:val="00255A0C"/>
    <w:rsid w:val="00260EE4"/>
    <w:rsid w:val="002617CE"/>
    <w:rsid w:val="00262AED"/>
    <w:rsid w:val="00264464"/>
    <w:rsid w:val="002708B7"/>
    <w:rsid w:val="002716D6"/>
    <w:rsid w:val="002767EA"/>
    <w:rsid w:val="0027765F"/>
    <w:rsid w:val="00283C68"/>
    <w:rsid w:val="002850B6"/>
    <w:rsid w:val="002A0CD0"/>
    <w:rsid w:val="002A1A60"/>
    <w:rsid w:val="002A5810"/>
    <w:rsid w:val="002B1A8D"/>
    <w:rsid w:val="002B49A1"/>
    <w:rsid w:val="002B57E1"/>
    <w:rsid w:val="002C6057"/>
    <w:rsid w:val="002D2CF7"/>
    <w:rsid w:val="002D3473"/>
    <w:rsid w:val="002D6D04"/>
    <w:rsid w:val="002E1492"/>
    <w:rsid w:val="002E345E"/>
    <w:rsid w:val="002E4821"/>
    <w:rsid w:val="002E7E35"/>
    <w:rsid w:val="00300D4A"/>
    <w:rsid w:val="00301C9A"/>
    <w:rsid w:val="0030556D"/>
    <w:rsid w:val="0031276C"/>
    <w:rsid w:val="003127A9"/>
    <w:rsid w:val="00314895"/>
    <w:rsid w:val="00317934"/>
    <w:rsid w:val="003212C1"/>
    <w:rsid w:val="00321AE6"/>
    <w:rsid w:val="003236FD"/>
    <w:rsid w:val="003269B9"/>
    <w:rsid w:val="00330DF8"/>
    <w:rsid w:val="00336550"/>
    <w:rsid w:val="00336DC0"/>
    <w:rsid w:val="00341A80"/>
    <w:rsid w:val="00341F3D"/>
    <w:rsid w:val="003420B1"/>
    <w:rsid w:val="003462B4"/>
    <w:rsid w:val="003470E8"/>
    <w:rsid w:val="00352A87"/>
    <w:rsid w:val="00354C87"/>
    <w:rsid w:val="00375848"/>
    <w:rsid w:val="003759CF"/>
    <w:rsid w:val="00377D4B"/>
    <w:rsid w:val="003806F9"/>
    <w:rsid w:val="0038431C"/>
    <w:rsid w:val="00392608"/>
    <w:rsid w:val="003A01F5"/>
    <w:rsid w:val="003A0493"/>
    <w:rsid w:val="003A4EFB"/>
    <w:rsid w:val="003A57D9"/>
    <w:rsid w:val="003B0DF4"/>
    <w:rsid w:val="003B371A"/>
    <w:rsid w:val="003B5454"/>
    <w:rsid w:val="003B5CFB"/>
    <w:rsid w:val="003B7B28"/>
    <w:rsid w:val="003C0B2E"/>
    <w:rsid w:val="003C6736"/>
    <w:rsid w:val="003D2461"/>
    <w:rsid w:val="003D2FB1"/>
    <w:rsid w:val="003D4668"/>
    <w:rsid w:val="003E51C3"/>
    <w:rsid w:val="003E5F22"/>
    <w:rsid w:val="003F08FF"/>
    <w:rsid w:val="003F65E4"/>
    <w:rsid w:val="0040053D"/>
    <w:rsid w:val="00400DCC"/>
    <w:rsid w:val="0041265A"/>
    <w:rsid w:val="004148B8"/>
    <w:rsid w:val="004221CF"/>
    <w:rsid w:val="00424D20"/>
    <w:rsid w:val="004275D2"/>
    <w:rsid w:val="00430952"/>
    <w:rsid w:val="0043697F"/>
    <w:rsid w:val="00440365"/>
    <w:rsid w:val="004428BC"/>
    <w:rsid w:val="004429AF"/>
    <w:rsid w:val="00442F22"/>
    <w:rsid w:val="00443E79"/>
    <w:rsid w:val="0044517F"/>
    <w:rsid w:val="00451D83"/>
    <w:rsid w:val="00453C7D"/>
    <w:rsid w:val="00454297"/>
    <w:rsid w:val="00455CB2"/>
    <w:rsid w:val="00456ED3"/>
    <w:rsid w:val="0045754C"/>
    <w:rsid w:val="00457A8F"/>
    <w:rsid w:val="004627BB"/>
    <w:rsid w:val="00463E7E"/>
    <w:rsid w:val="004666FC"/>
    <w:rsid w:val="00467C55"/>
    <w:rsid w:val="004725A4"/>
    <w:rsid w:val="00472DF8"/>
    <w:rsid w:val="00474DC2"/>
    <w:rsid w:val="00476FC7"/>
    <w:rsid w:val="00477D76"/>
    <w:rsid w:val="00483922"/>
    <w:rsid w:val="00485142"/>
    <w:rsid w:val="004867CF"/>
    <w:rsid w:val="00487236"/>
    <w:rsid w:val="00490D02"/>
    <w:rsid w:val="0049535F"/>
    <w:rsid w:val="004A2A73"/>
    <w:rsid w:val="004A2C4D"/>
    <w:rsid w:val="004A383B"/>
    <w:rsid w:val="004A643A"/>
    <w:rsid w:val="004B0269"/>
    <w:rsid w:val="004C3BD6"/>
    <w:rsid w:val="004C3CE1"/>
    <w:rsid w:val="004D0310"/>
    <w:rsid w:val="004D1514"/>
    <w:rsid w:val="004D1563"/>
    <w:rsid w:val="004D440F"/>
    <w:rsid w:val="004E1F51"/>
    <w:rsid w:val="004F320D"/>
    <w:rsid w:val="004F6F73"/>
    <w:rsid w:val="005013F6"/>
    <w:rsid w:val="00504AB5"/>
    <w:rsid w:val="00511289"/>
    <w:rsid w:val="00514459"/>
    <w:rsid w:val="0051612E"/>
    <w:rsid w:val="00521B5C"/>
    <w:rsid w:val="00525423"/>
    <w:rsid w:val="0052635A"/>
    <w:rsid w:val="005301A0"/>
    <w:rsid w:val="00530C51"/>
    <w:rsid w:val="00531D8B"/>
    <w:rsid w:val="0053325B"/>
    <w:rsid w:val="005334AC"/>
    <w:rsid w:val="00541389"/>
    <w:rsid w:val="00541CD2"/>
    <w:rsid w:val="005466AC"/>
    <w:rsid w:val="00547171"/>
    <w:rsid w:val="005501AB"/>
    <w:rsid w:val="005505DB"/>
    <w:rsid w:val="00556754"/>
    <w:rsid w:val="0055702E"/>
    <w:rsid w:val="00561D8C"/>
    <w:rsid w:val="00561DF7"/>
    <w:rsid w:val="00566A95"/>
    <w:rsid w:val="00576C0C"/>
    <w:rsid w:val="005774FC"/>
    <w:rsid w:val="005819B7"/>
    <w:rsid w:val="00581A76"/>
    <w:rsid w:val="00584D20"/>
    <w:rsid w:val="0058539A"/>
    <w:rsid w:val="005906ED"/>
    <w:rsid w:val="0059094D"/>
    <w:rsid w:val="00590AED"/>
    <w:rsid w:val="00593B1D"/>
    <w:rsid w:val="00593B4C"/>
    <w:rsid w:val="005A2BFA"/>
    <w:rsid w:val="005B1269"/>
    <w:rsid w:val="005B3410"/>
    <w:rsid w:val="005B49D7"/>
    <w:rsid w:val="005B70F6"/>
    <w:rsid w:val="005C04A3"/>
    <w:rsid w:val="005C4DF4"/>
    <w:rsid w:val="005D014B"/>
    <w:rsid w:val="005D072B"/>
    <w:rsid w:val="005D0E9C"/>
    <w:rsid w:val="005D1E0C"/>
    <w:rsid w:val="005E2484"/>
    <w:rsid w:val="005E6A96"/>
    <w:rsid w:val="005F1104"/>
    <w:rsid w:val="005F1C91"/>
    <w:rsid w:val="00601474"/>
    <w:rsid w:val="00605A5E"/>
    <w:rsid w:val="00621FAC"/>
    <w:rsid w:val="006261EE"/>
    <w:rsid w:val="0062791A"/>
    <w:rsid w:val="006334FC"/>
    <w:rsid w:val="00635334"/>
    <w:rsid w:val="00636B20"/>
    <w:rsid w:val="00642406"/>
    <w:rsid w:val="0064757A"/>
    <w:rsid w:val="00647D52"/>
    <w:rsid w:val="0065039F"/>
    <w:rsid w:val="006503B1"/>
    <w:rsid w:val="006505CD"/>
    <w:rsid w:val="0065171F"/>
    <w:rsid w:val="00657FEA"/>
    <w:rsid w:val="006629AA"/>
    <w:rsid w:val="00662B2D"/>
    <w:rsid w:val="00662F57"/>
    <w:rsid w:val="006633E0"/>
    <w:rsid w:val="00674CE9"/>
    <w:rsid w:val="0067536F"/>
    <w:rsid w:val="00676637"/>
    <w:rsid w:val="00677516"/>
    <w:rsid w:val="006777F5"/>
    <w:rsid w:val="00681FBA"/>
    <w:rsid w:val="0068282E"/>
    <w:rsid w:val="00692454"/>
    <w:rsid w:val="00693399"/>
    <w:rsid w:val="00693668"/>
    <w:rsid w:val="00694CAC"/>
    <w:rsid w:val="006973D8"/>
    <w:rsid w:val="006A3713"/>
    <w:rsid w:val="006A5EDA"/>
    <w:rsid w:val="006B6C14"/>
    <w:rsid w:val="006B7581"/>
    <w:rsid w:val="006C43C4"/>
    <w:rsid w:val="006C7419"/>
    <w:rsid w:val="006D513B"/>
    <w:rsid w:val="006E55D3"/>
    <w:rsid w:val="006F0409"/>
    <w:rsid w:val="006F34AC"/>
    <w:rsid w:val="006F549B"/>
    <w:rsid w:val="00703AD1"/>
    <w:rsid w:val="00706350"/>
    <w:rsid w:val="007108A8"/>
    <w:rsid w:val="00712119"/>
    <w:rsid w:val="00713FAC"/>
    <w:rsid w:val="0071784A"/>
    <w:rsid w:val="0071796E"/>
    <w:rsid w:val="00721D0B"/>
    <w:rsid w:val="00733BFC"/>
    <w:rsid w:val="00737E13"/>
    <w:rsid w:val="00744A6D"/>
    <w:rsid w:val="00746FA1"/>
    <w:rsid w:val="0075202E"/>
    <w:rsid w:val="00754355"/>
    <w:rsid w:val="007652A9"/>
    <w:rsid w:val="00766617"/>
    <w:rsid w:val="007672B9"/>
    <w:rsid w:val="00777565"/>
    <w:rsid w:val="00784911"/>
    <w:rsid w:val="007868B9"/>
    <w:rsid w:val="0078724D"/>
    <w:rsid w:val="0079482C"/>
    <w:rsid w:val="007B0688"/>
    <w:rsid w:val="007B11C5"/>
    <w:rsid w:val="007B6242"/>
    <w:rsid w:val="007C2E0A"/>
    <w:rsid w:val="007C72E3"/>
    <w:rsid w:val="007D12EF"/>
    <w:rsid w:val="007D16A6"/>
    <w:rsid w:val="007D2591"/>
    <w:rsid w:val="007D376C"/>
    <w:rsid w:val="007D6ED2"/>
    <w:rsid w:val="007E5AD5"/>
    <w:rsid w:val="007E5D96"/>
    <w:rsid w:val="007F104C"/>
    <w:rsid w:val="007F6E0F"/>
    <w:rsid w:val="00800739"/>
    <w:rsid w:val="0080139D"/>
    <w:rsid w:val="00802E5B"/>
    <w:rsid w:val="00806D8C"/>
    <w:rsid w:val="00812AB4"/>
    <w:rsid w:val="008133A9"/>
    <w:rsid w:val="0081370B"/>
    <w:rsid w:val="0082374B"/>
    <w:rsid w:val="00824AE5"/>
    <w:rsid w:val="00825D82"/>
    <w:rsid w:val="00833AE6"/>
    <w:rsid w:val="008375FB"/>
    <w:rsid w:val="00841672"/>
    <w:rsid w:val="0084197E"/>
    <w:rsid w:val="00852BCB"/>
    <w:rsid w:val="0085513F"/>
    <w:rsid w:val="0085553D"/>
    <w:rsid w:val="00866F5A"/>
    <w:rsid w:val="008675F6"/>
    <w:rsid w:val="008702EC"/>
    <w:rsid w:val="008734E8"/>
    <w:rsid w:val="00876A79"/>
    <w:rsid w:val="00880B0E"/>
    <w:rsid w:val="00881590"/>
    <w:rsid w:val="0088432B"/>
    <w:rsid w:val="00884EB6"/>
    <w:rsid w:val="0088561A"/>
    <w:rsid w:val="00885C33"/>
    <w:rsid w:val="008866CE"/>
    <w:rsid w:val="00893C0C"/>
    <w:rsid w:val="008A38A6"/>
    <w:rsid w:val="008A4B0E"/>
    <w:rsid w:val="008C0282"/>
    <w:rsid w:val="008C1124"/>
    <w:rsid w:val="008C308D"/>
    <w:rsid w:val="008C5AE5"/>
    <w:rsid w:val="008C7FAB"/>
    <w:rsid w:val="008D13FD"/>
    <w:rsid w:val="008D41BA"/>
    <w:rsid w:val="008E06D0"/>
    <w:rsid w:val="008E307C"/>
    <w:rsid w:val="008E5DE2"/>
    <w:rsid w:val="008F6858"/>
    <w:rsid w:val="00901E74"/>
    <w:rsid w:val="00902178"/>
    <w:rsid w:val="00905E18"/>
    <w:rsid w:val="00913403"/>
    <w:rsid w:val="009146A9"/>
    <w:rsid w:val="00914774"/>
    <w:rsid w:val="009147A8"/>
    <w:rsid w:val="00917D69"/>
    <w:rsid w:val="00930138"/>
    <w:rsid w:val="00936204"/>
    <w:rsid w:val="00936255"/>
    <w:rsid w:val="00940D87"/>
    <w:rsid w:val="00942EB9"/>
    <w:rsid w:val="00945037"/>
    <w:rsid w:val="0096022B"/>
    <w:rsid w:val="00960FD2"/>
    <w:rsid w:val="009638C3"/>
    <w:rsid w:val="0096505C"/>
    <w:rsid w:val="009655BB"/>
    <w:rsid w:val="00967531"/>
    <w:rsid w:val="00967A57"/>
    <w:rsid w:val="00973923"/>
    <w:rsid w:val="00977EC9"/>
    <w:rsid w:val="00981641"/>
    <w:rsid w:val="00991F4C"/>
    <w:rsid w:val="00992395"/>
    <w:rsid w:val="00995454"/>
    <w:rsid w:val="009A3FC0"/>
    <w:rsid w:val="009A4594"/>
    <w:rsid w:val="009A45B1"/>
    <w:rsid w:val="009A6209"/>
    <w:rsid w:val="009A7C9F"/>
    <w:rsid w:val="009B2D7A"/>
    <w:rsid w:val="009B3E6B"/>
    <w:rsid w:val="009B5EC7"/>
    <w:rsid w:val="009C2706"/>
    <w:rsid w:val="009C3080"/>
    <w:rsid w:val="009C713C"/>
    <w:rsid w:val="009D1439"/>
    <w:rsid w:val="009D1BEA"/>
    <w:rsid w:val="009E5EBA"/>
    <w:rsid w:val="009F1321"/>
    <w:rsid w:val="009F24B8"/>
    <w:rsid w:val="009F5E95"/>
    <w:rsid w:val="009F6A10"/>
    <w:rsid w:val="00A01BEB"/>
    <w:rsid w:val="00A01E76"/>
    <w:rsid w:val="00A03C21"/>
    <w:rsid w:val="00A043A5"/>
    <w:rsid w:val="00A04A1E"/>
    <w:rsid w:val="00A06D61"/>
    <w:rsid w:val="00A109CE"/>
    <w:rsid w:val="00A11D42"/>
    <w:rsid w:val="00A12A95"/>
    <w:rsid w:val="00A132E0"/>
    <w:rsid w:val="00A14E82"/>
    <w:rsid w:val="00A15622"/>
    <w:rsid w:val="00A33BA1"/>
    <w:rsid w:val="00A34E91"/>
    <w:rsid w:val="00A361F1"/>
    <w:rsid w:val="00A42ED1"/>
    <w:rsid w:val="00A5347B"/>
    <w:rsid w:val="00A65418"/>
    <w:rsid w:val="00A71F39"/>
    <w:rsid w:val="00A74189"/>
    <w:rsid w:val="00A81F89"/>
    <w:rsid w:val="00A822A9"/>
    <w:rsid w:val="00A84F91"/>
    <w:rsid w:val="00A87FBF"/>
    <w:rsid w:val="00A905C7"/>
    <w:rsid w:val="00A90798"/>
    <w:rsid w:val="00A95095"/>
    <w:rsid w:val="00A957AC"/>
    <w:rsid w:val="00A9789F"/>
    <w:rsid w:val="00AA3BDF"/>
    <w:rsid w:val="00AA5672"/>
    <w:rsid w:val="00AB1CF1"/>
    <w:rsid w:val="00AB2459"/>
    <w:rsid w:val="00AB2D19"/>
    <w:rsid w:val="00AB447C"/>
    <w:rsid w:val="00AB4FA1"/>
    <w:rsid w:val="00AB7BCE"/>
    <w:rsid w:val="00AC3434"/>
    <w:rsid w:val="00AC391F"/>
    <w:rsid w:val="00AC75FD"/>
    <w:rsid w:val="00AD077E"/>
    <w:rsid w:val="00AD19D8"/>
    <w:rsid w:val="00AD4A5F"/>
    <w:rsid w:val="00AD6D7F"/>
    <w:rsid w:val="00AE1CB1"/>
    <w:rsid w:val="00AE7AFA"/>
    <w:rsid w:val="00AF02AC"/>
    <w:rsid w:val="00AF0584"/>
    <w:rsid w:val="00AF0F4F"/>
    <w:rsid w:val="00B02C6C"/>
    <w:rsid w:val="00B02FB5"/>
    <w:rsid w:val="00B04BAC"/>
    <w:rsid w:val="00B05FD5"/>
    <w:rsid w:val="00B10D65"/>
    <w:rsid w:val="00B10FF1"/>
    <w:rsid w:val="00B16BB9"/>
    <w:rsid w:val="00B177B4"/>
    <w:rsid w:val="00B21D8E"/>
    <w:rsid w:val="00B21DE4"/>
    <w:rsid w:val="00B232AF"/>
    <w:rsid w:val="00B30191"/>
    <w:rsid w:val="00B30A29"/>
    <w:rsid w:val="00B31179"/>
    <w:rsid w:val="00B316AA"/>
    <w:rsid w:val="00B33F50"/>
    <w:rsid w:val="00B379C2"/>
    <w:rsid w:val="00B4467A"/>
    <w:rsid w:val="00B604AF"/>
    <w:rsid w:val="00B703C2"/>
    <w:rsid w:val="00B741F3"/>
    <w:rsid w:val="00B752B0"/>
    <w:rsid w:val="00B75350"/>
    <w:rsid w:val="00B93625"/>
    <w:rsid w:val="00B94EDA"/>
    <w:rsid w:val="00B95796"/>
    <w:rsid w:val="00BA5C35"/>
    <w:rsid w:val="00BA7754"/>
    <w:rsid w:val="00BB2154"/>
    <w:rsid w:val="00BB6C44"/>
    <w:rsid w:val="00BB7546"/>
    <w:rsid w:val="00BC16C3"/>
    <w:rsid w:val="00BC4E79"/>
    <w:rsid w:val="00BC5199"/>
    <w:rsid w:val="00BD08B1"/>
    <w:rsid w:val="00BD37B5"/>
    <w:rsid w:val="00BE2F85"/>
    <w:rsid w:val="00BE4626"/>
    <w:rsid w:val="00BE7A62"/>
    <w:rsid w:val="00BF4130"/>
    <w:rsid w:val="00BF43B7"/>
    <w:rsid w:val="00BF51FA"/>
    <w:rsid w:val="00BF6DAC"/>
    <w:rsid w:val="00C00AD9"/>
    <w:rsid w:val="00C03860"/>
    <w:rsid w:val="00C15D6C"/>
    <w:rsid w:val="00C16045"/>
    <w:rsid w:val="00C16C6F"/>
    <w:rsid w:val="00C21966"/>
    <w:rsid w:val="00C2531E"/>
    <w:rsid w:val="00C27198"/>
    <w:rsid w:val="00C338CD"/>
    <w:rsid w:val="00C401E1"/>
    <w:rsid w:val="00C40983"/>
    <w:rsid w:val="00C41BC8"/>
    <w:rsid w:val="00C468F8"/>
    <w:rsid w:val="00C47C36"/>
    <w:rsid w:val="00C47E82"/>
    <w:rsid w:val="00C53561"/>
    <w:rsid w:val="00C541A7"/>
    <w:rsid w:val="00C55CC4"/>
    <w:rsid w:val="00C567FE"/>
    <w:rsid w:val="00C65288"/>
    <w:rsid w:val="00C73948"/>
    <w:rsid w:val="00C74326"/>
    <w:rsid w:val="00C75181"/>
    <w:rsid w:val="00C806A7"/>
    <w:rsid w:val="00C82ADD"/>
    <w:rsid w:val="00C836B7"/>
    <w:rsid w:val="00C8588F"/>
    <w:rsid w:val="00C9637D"/>
    <w:rsid w:val="00CA283E"/>
    <w:rsid w:val="00CA314B"/>
    <w:rsid w:val="00CA3891"/>
    <w:rsid w:val="00CA4E14"/>
    <w:rsid w:val="00CA6461"/>
    <w:rsid w:val="00CA71F6"/>
    <w:rsid w:val="00CB35B6"/>
    <w:rsid w:val="00CB52BC"/>
    <w:rsid w:val="00CC7E42"/>
    <w:rsid w:val="00CD5150"/>
    <w:rsid w:val="00CE09FF"/>
    <w:rsid w:val="00CE20B7"/>
    <w:rsid w:val="00CE5777"/>
    <w:rsid w:val="00CE5AD1"/>
    <w:rsid w:val="00CE5E63"/>
    <w:rsid w:val="00CE6C13"/>
    <w:rsid w:val="00CE793D"/>
    <w:rsid w:val="00CE7ACE"/>
    <w:rsid w:val="00CF264B"/>
    <w:rsid w:val="00CF4956"/>
    <w:rsid w:val="00CF55EB"/>
    <w:rsid w:val="00D02AC7"/>
    <w:rsid w:val="00D066DE"/>
    <w:rsid w:val="00D0687D"/>
    <w:rsid w:val="00D07B3B"/>
    <w:rsid w:val="00D13614"/>
    <w:rsid w:val="00D16DE4"/>
    <w:rsid w:val="00D2050D"/>
    <w:rsid w:val="00D20E5D"/>
    <w:rsid w:val="00D224A9"/>
    <w:rsid w:val="00D24008"/>
    <w:rsid w:val="00D242AE"/>
    <w:rsid w:val="00D30010"/>
    <w:rsid w:val="00D3076B"/>
    <w:rsid w:val="00D34C41"/>
    <w:rsid w:val="00D35356"/>
    <w:rsid w:val="00D361AC"/>
    <w:rsid w:val="00D4130E"/>
    <w:rsid w:val="00D41B1F"/>
    <w:rsid w:val="00D45F89"/>
    <w:rsid w:val="00D52D63"/>
    <w:rsid w:val="00D54BE6"/>
    <w:rsid w:val="00D57F7C"/>
    <w:rsid w:val="00D658E2"/>
    <w:rsid w:val="00D66385"/>
    <w:rsid w:val="00D70B42"/>
    <w:rsid w:val="00D74ABF"/>
    <w:rsid w:val="00D74E64"/>
    <w:rsid w:val="00D74F6E"/>
    <w:rsid w:val="00D7747E"/>
    <w:rsid w:val="00D8196A"/>
    <w:rsid w:val="00D83671"/>
    <w:rsid w:val="00D8369F"/>
    <w:rsid w:val="00D8394C"/>
    <w:rsid w:val="00D87196"/>
    <w:rsid w:val="00D91482"/>
    <w:rsid w:val="00D94542"/>
    <w:rsid w:val="00DA2A6E"/>
    <w:rsid w:val="00DA66DC"/>
    <w:rsid w:val="00DA710E"/>
    <w:rsid w:val="00DB1809"/>
    <w:rsid w:val="00DB34B4"/>
    <w:rsid w:val="00DB4BE5"/>
    <w:rsid w:val="00DB6932"/>
    <w:rsid w:val="00DB6BD3"/>
    <w:rsid w:val="00DB790E"/>
    <w:rsid w:val="00DB7CC8"/>
    <w:rsid w:val="00DB7D56"/>
    <w:rsid w:val="00DC68BD"/>
    <w:rsid w:val="00DD161C"/>
    <w:rsid w:val="00DD6961"/>
    <w:rsid w:val="00DE04C7"/>
    <w:rsid w:val="00DE1444"/>
    <w:rsid w:val="00DE1F50"/>
    <w:rsid w:val="00DE7C74"/>
    <w:rsid w:val="00DF0E61"/>
    <w:rsid w:val="00DF3C26"/>
    <w:rsid w:val="00DF4B7A"/>
    <w:rsid w:val="00DF5966"/>
    <w:rsid w:val="00DF5DDE"/>
    <w:rsid w:val="00DF5E48"/>
    <w:rsid w:val="00DF624E"/>
    <w:rsid w:val="00E03862"/>
    <w:rsid w:val="00E042A0"/>
    <w:rsid w:val="00E04645"/>
    <w:rsid w:val="00E05125"/>
    <w:rsid w:val="00E07FAC"/>
    <w:rsid w:val="00E1027C"/>
    <w:rsid w:val="00E15C7D"/>
    <w:rsid w:val="00E214C9"/>
    <w:rsid w:val="00E21862"/>
    <w:rsid w:val="00E273F0"/>
    <w:rsid w:val="00E30531"/>
    <w:rsid w:val="00E310D0"/>
    <w:rsid w:val="00E361C8"/>
    <w:rsid w:val="00E407F4"/>
    <w:rsid w:val="00E4177D"/>
    <w:rsid w:val="00E51835"/>
    <w:rsid w:val="00E53CD9"/>
    <w:rsid w:val="00E55394"/>
    <w:rsid w:val="00E57005"/>
    <w:rsid w:val="00E6024F"/>
    <w:rsid w:val="00E65AA6"/>
    <w:rsid w:val="00E66C9B"/>
    <w:rsid w:val="00E66DC5"/>
    <w:rsid w:val="00E704AB"/>
    <w:rsid w:val="00E74D02"/>
    <w:rsid w:val="00E74FCE"/>
    <w:rsid w:val="00E77EC6"/>
    <w:rsid w:val="00E82279"/>
    <w:rsid w:val="00E85A8B"/>
    <w:rsid w:val="00E8772D"/>
    <w:rsid w:val="00E90A5E"/>
    <w:rsid w:val="00E91569"/>
    <w:rsid w:val="00E94E0D"/>
    <w:rsid w:val="00E97B8D"/>
    <w:rsid w:val="00EA0BE4"/>
    <w:rsid w:val="00EA3C2D"/>
    <w:rsid w:val="00EA6637"/>
    <w:rsid w:val="00EB5E7A"/>
    <w:rsid w:val="00EC112C"/>
    <w:rsid w:val="00EC41E9"/>
    <w:rsid w:val="00EC557F"/>
    <w:rsid w:val="00EC615B"/>
    <w:rsid w:val="00EC7F8C"/>
    <w:rsid w:val="00ED6B89"/>
    <w:rsid w:val="00EE125A"/>
    <w:rsid w:val="00EE13A6"/>
    <w:rsid w:val="00EE1B45"/>
    <w:rsid w:val="00EE347E"/>
    <w:rsid w:val="00EE4A7F"/>
    <w:rsid w:val="00EE65B1"/>
    <w:rsid w:val="00EF1065"/>
    <w:rsid w:val="00EF10D4"/>
    <w:rsid w:val="00EF4332"/>
    <w:rsid w:val="00F027C3"/>
    <w:rsid w:val="00F02D15"/>
    <w:rsid w:val="00F118FE"/>
    <w:rsid w:val="00F13912"/>
    <w:rsid w:val="00F1465F"/>
    <w:rsid w:val="00F24FB0"/>
    <w:rsid w:val="00F31F99"/>
    <w:rsid w:val="00F33CE4"/>
    <w:rsid w:val="00F3628C"/>
    <w:rsid w:val="00F365D0"/>
    <w:rsid w:val="00F45075"/>
    <w:rsid w:val="00F4653E"/>
    <w:rsid w:val="00F466E5"/>
    <w:rsid w:val="00F50478"/>
    <w:rsid w:val="00F537E1"/>
    <w:rsid w:val="00F53C08"/>
    <w:rsid w:val="00F60879"/>
    <w:rsid w:val="00F63B56"/>
    <w:rsid w:val="00F6426E"/>
    <w:rsid w:val="00F643ED"/>
    <w:rsid w:val="00F64DA9"/>
    <w:rsid w:val="00F652E5"/>
    <w:rsid w:val="00F72802"/>
    <w:rsid w:val="00F74A69"/>
    <w:rsid w:val="00F757F4"/>
    <w:rsid w:val="00F80F67"/>
    <w:rsid w:val="00F8196B"/>
    <w:rsid w:val="00F82472"/>
    <w:rsid w:val="00F9168A"/>
    <w:rsid w:val="00F972FE"/>
    <w:rsid w:val="00F97B86"/>
    <w:rsid w:val="00FA0F04"/>
    <w:rsid w:val="00FA0FAC"/>
    <w:rsid w:val="00FA1154"/>
    <w:rsid w:val="00FA337B"/>
    <w:rsid w:val="00FA4506"/>
    <w:rsid w:val="00FB2311"/>
    <w:rsid w:val="00FB34F2"/>
    <w:rsid w:val="00FB72CD"/>
    <w:rsid w:val="00FC0DB0"/>
    <w:rsid w:val="00FC31D2"/>
    <w:rsid w:val="00FC3E6F"/>
    <w:rsid w:val="00FC4DB3"/>
    <w:rsid w:val="00FC757B"/>
    <w:rsid w:val="00FD264E"/>
    <w:rsid w:val="00FD49B0"/>
    <w:rsid w:val="00FE01CD"/>
    <w:rsid w:val="00FE0898"/>
    <w:rsid w:val="00FE15F5"/>
    <w:rsid w:val="00FF4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79D675B8"/>
  <w14:defaultImageDpi w14:val="96"/>
  <w15:docId w15:val="{5BF59A35-2BAA-4CE3-B18D-CCBFBDDC1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annotation text" w:semiHidden="1" w:uiPriority="0"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Strong" w:uiPriority="22" w:qFormat="1"/>
    <w:lsdException w:name="Emphasis" w:uiPriority="20"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sz w:val="24"/>
      <w:szCs w:val="24"/>
    </w:rPr>
  </w:style>
  <w:style w:type="paragraph" w:styleId="Heading1">
    <w:name w:val="heading 1"/>
    <w:basedOn w:val="Normal"/>
    <w:next w:val="Normal"/>
    <w:link w:val="Heading1Char"/>
    <w:uiPriority w:val="99"/>
    <w:qFormat/>
    <w:pPr>
      <w:keepNext/>
      <w:widowControl w:val="0"/>
      <w:autoSpaceDE w:val="0"/>
      <w:autoSpaceDN w:val="0"/>
      <w:adjustRightInd w:val="0"/>
      <w:spacing w:after="14"/>
      <w:outlineLvl w:val="0"/>
    </w:pPr>
    <w:rPr>
      <w:b/>
      <w:bCs/>
      <w:sz w:val="22"/>
      <w:szCs w:val="22"/>
    </w:rPr>
  </w:style>
  <w:style w:type="paragraph" w:styleId="Heading2">
    <w:name w:val="heading 2"/>
    <w:basedOn w:val="Normal"/>
    <w:next w:val="Normal"/>
    <w:link w:val="Heading2Char"/>
    <w:uiPriority w:val="9"/>
    <w:semiHidden/>
    <w:unhideWhenUsed/>
    <w:qFormat/>
    <w:rsid w:val="004A2C4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9"/>
    <w:qFormat/>
    <w:pPr>
      <w:keepNext/>
      <w:keepLines/>
      <w:widowControl w:val="0"/>
      <w:jc w:val="center"/>
      <w:outlineLvl w:val="2"/>
    </w:pPr>
    <w:rPr>
      <w:b/>
      <w:bCs/>
    </w:rPr>
  </w:style>
  <w:style w:type="paragraph" w:styleId="Heading4">
    <w:name w:val="heading 4"/>
    <w:basedOn w:val="Normal"/>
    <w:next w:val="Normal"/>
    <w:link w:val="Heading4Char"/>
    <w:uiPriority w:val="99"/>
    <w:qFormat/>
    <w:rsid w:val="00EA6637"/>
    <w:pPr>
      <w:keepNext/>
      <w:spacing w:before="240" w:after="60"/>
      <w:outlineLvl w:val="3"/>
    </w:pPr>
    <w:rPr>
      <w:b/>
      <w:bCs/>
      <w:sz w:val="28"/>
      <w:szCs w:val="28"/>
    </w:rPr>
  </w:style>
  <w:style w:type="paragraph" w:styleId="Heading5">
    <w:name w:val="heading 5"/>
    <w:basedOn w:val="Normal"/>
    <w:next w:val="Normal"/>
    <w:link w:val="Heading5Char"/>
    <w:uiPriority w:val="99"/>
    <w:qFormat/>
    <w:rsid w:val="00467C55"/>
    <w:pPr>
      <w:spacing w:before="240" w:after="60"/>
      <w:outlineLvl w:val="4"/>
    </w:pPr>
    <w:rPr>
      <w:b/>
      <w:bCs/>
      <w:i/>
      <w:iCs/>
      <w:sz w:val="26"/>
      <w:szCs w:val="26"/>
    </w:rPr>
  </w:style>
  <w:style w:type="paragraph" w:styleId="Heading6">
    <w:name w:val="heading 6"/>
    <w:basedOn w:val="Normal"/>
    <w:next w:val="Normal"/>
    <w:link w:val="Heading6Char"/>
    <w:uiPriority w:val="99"/>
    <w:qFormat/>
    <w:pPr>
      <w:keepNext/>
      <w:widowControl w:val="0"/>
      <w:tabs>
        <w:tab w:val="left" w:pos="-1440"/>
      </w:tabs>
      <w:autoSpaceDE w:val="0"/>
      <w:autoSpaceDN w:val="0"/>
      <w:adjustRightInd w:val="0"/>
      <w:spacing w:after="14"/>
      <w:ind w:left="1440" w:hanging="1440"/>
      <w:outlineLvl w:val="5"/>
    </w:pPr>
    <w:rPr>
      <w:b/>
      <w:bCs/>
      <w:sz w:val="22"/>
      <w:szCs w:val="22"/>
    </w:rPr>
  </w:style>
  <w:style w:type="paragraph" w:styleId="Heading9">
    <w:name w:val="heading 9"/>
    <w:basedOn w:val="Normal"/>
    <w:next w:val="Normal"/>
    <w:link w:val="Heading9Char"/>
    <w:uiPriority w:val="99"/>
    <w:qFormat/>
    <w:pPr>
      <w:keepNext/>
      <w:jc w:val="center"/>
      <w:outlineLvl w:val="8"/>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sid w:val="004A2C4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r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pPr>
      <w:widowControl w:val="0"/>
      <w:autoSpaceDE w:val="0"/>
      <w:autoSpaceDN w:val="0"/>
      <w:adjustRightInd w:val="0"/>
    </w:pPr>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Header">
    <w:name w:val="header"/>
    <w:basedOn w:val="Normal"/>
    <w:link w:val="HeaderChar"/>
    <w:uiPriority w:val="99"/>
    <w:pPr>
      <w:widowControl w:val="0"/>
      <w:tabs>
        <w:tab w:val="center" w:pos="4320"/>
        <w:tab w:val="right" w:pos="8640"/>
      </w:tabs>
      <w:autoSpaceDE w:val="0"/>
      <w:autoSpaceDN w:val="0"/>
      <w:adjustRightInd w:val="0"/>
    </w:pPr>
  </w:style>
  <w:style w:type="character" w:customStyle="1" w:styleId="HeaderChar">
    <w:name w:val="Header Char"/>
    <w:basedOn w:val="DefaultParagraphFont"/>
    <w:link w:val="Header"/>
    <w:uiPriority w:val="99"/>
    <w:semiHidden/>
    <w:locked/>
    <w:rPr>
      <w:rFonts w:cs="Times New Roman"/>
      <w:sz w:val="24"/>
      <w:szCs w:val="24"/>
    </w:rPr>
  </w:style>
  <w:style w:type="paragraph" w:customStyle="1" w:styleId="Level1">
    <w:name w:val="Level 1"/>
    <w:basedOn w:val="Normal"/>
    <w:uiPriority w:val="99"/>
    <w:pPr>
      <w:widowControl w:val="0"/>
      <w:autoSpaceDE w:val="0"/>
      <w:autoSpaceDN w:val="0"/>
      <w:adjustRightInd w:val="0"/>
      <w:ind w:left="720" w:hanging="720"/>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Pr>
      <w:rFonts w:cs="Times New Roman"/>
    </w:rPr>
  </w:style>
  <w:style w:type="paragraph" w:styleId="BalloonText">
    <w:name w:val="Balloon Text"/>
    <w:basedOn w:val="Normal"/>
    <w:link w:val="BalloonTextChar"/>
    <w:uiPriority w:val="99"/>
    <w:semiHidden/>
    <w:rsid w:val="00BF43B7"/>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Hyperlink">
    <w:name w:val="Hyperlink"/>
    <w:basedOn w:val="DefaultParagraphFont"/>
    <w:uiPriority w:val="99"/>
    <w:rsid w:val="002B1A8D"/>
    <w:rPr>
      <w:rFonts w:cs="Times New Roman"/>
      <w:color w:val="0000FF"/>
      <w:u w:val="single"/>
    </w:rPr>
  </w:style>
  <w:style w:type="paragraph" w:styleId="BodyText2">
    <w:name w:val="Body Text 2"/>
    <w:basedOn w:val="Normal"/>
    <w:link w:val="BodyText2Char"/>
    <w:uiPriority w:val="99"/>
    <w:rsid w:val="002B1A8D"/>
    <w:pPr>
      <w:spacing w:after="58"/>
    </w:pPr>
    <w:rPr>
      <w:sz w:val="18"/>
      <w:szCs w:val="18"/>
    </w:rPr>
  </w:style>
  <w:style w:type="character" w:customStyle="1" w:styleId="BodyText2Char">
    <w:name w:val="Body Text 2 Char"/>
    <w:basedOn w:val="DefaultParagraphFont"/>
    <w:link w:val="BodyText2"/>
    <w:uiPriority w:val="99"/>
    <w:locked/>
    <w:rPr>
      <w:rFonts w:cs="Times New Roman"/>
      <w:sz w:val="24"/>
      <w:szCs w:val="24"/>
    </w:rPr>
  </w:style>
  <w:style w:type="paragraph" w:styleId="CommentSubject">
    <w:name w:val="annotation subject"/>
    <w:basedOn w:val="CommentText"/>
    <w:next w:val="CommentText"/>
    <w:link w:val="CommentSubjectChar"/>
    <w:uiPriority w:val="99"/>
    <w:semiHidden/>
    <w:rsid w:val="00B02FB5"/>
    <w:pPr>
      <w:widowControl/>
      <w:autoSpaceDE/>
      <w:autoSpaceDN/>
      <w:adjustRightInd/>
    </w:pPr>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paragraph" w:styleId="TOAHeading">
    <w:name w:val="toa heading"/>
    <w:basedOn w:val="Normal"/>
    <w:next w:val="Normal"/>
    <w:uiPriority w:val="99"/>
    <w:semiHidden/>
    <w:rsid w:val="000C4C3B"/>
    <w:pPr>
      <w:widowControl w:val="0"/>
      <w:tabs>
        <w:tab w:val="right" w:pos="9360"/>
      </w:tabs>
      <w:suppressAutoHyphens/>
      <w:autoSpaceDE w:val="0"/>
      <w:autoSpaceDN w:val="0"/>
      <w:adjustRightInd w:val="0"/>
      <w:spacing w:line="240" w:lineRule="atLeast"/>
    </w:pPr>
  </w:style>
  <w:style w:type="paragraph" w:styleId="NormalWeb">
    <w:name w:val="Normal (Web)"/>
    <w:basedOn w:val="Normal"/>
    <w:uiPriority w:val="99"/>
    <w:rsid w:val="00024A24"/>
    <w:pPr>
      <w:spacing w:before="100" w:beforeAutospacing="1" w:after="100" w:afterAutospacing="1"/>
    </w:pPr>
    <w:rPr>
      <w:rFonts w:ascii="Arial Unicode MS" w:eastAsia="Arial Unicode MS" w:hAnsi="Arial Unicode MS" w:cs="Arial Unicode MS"/>
    </w:rPr>
  </w:style>
  <w:style w:type="character" w:styleId="Strong">
    <w:name w:val="Strong"/>
    <w:basedOn w:val="DefaultParagraphFont"/>
    <w:uiPriority w:val="99"/>
    <w:qFormat/>
    <w:rsid w:val="00721D0B"/>
    <w:rPr>
      <w:rFonts w:cs="Times New Roman"/>
      <w:b/>
      <w:bCs/>
    </w:rPr>
  </w:style>
  <w:style w:type="paragraph" w:styleId="BodyText">
    <w:name w:val="Body Text"/>
    <w:basedOn w:val="Normal"/>
    <w:link w:val="BodyTextChar"/>
    <w:uiPriority w:val="99"/>
    <w:rsid w:val="00C03860"/>
    <w:pPr>
      <w:spacing w:after="120"/>
    </w:p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EndnoteText">
    <w:name w:val="endnote text"/>
    <w:basedOn w:val="Normal"/>
    <w:link w:val="EndnoteTextChar"/>
    <w:uiPriority w:val="99"/>
    <w:semiHidden/>
    <w:rsid w:val="00B05FD5"/>
    <w:pPr>
      <w:widowControl w:val="0"/>
      <w:autoSpaceDE w:val="0"/>
      <w:autoSpaceDN w:val="0"/>
      <w:adjustRightInd w:val="0"/>
    </w:pPr>
    <w:rPr>
      <w:sz w:val="20"/>
      <w:szCs w:val="20"/>
    </w:rPr>
  </w:style>
  <w:style w:type="character" w:customStyle="1" w:styleId="EndnoteTextChar">
    <w:name w:val="Endnote Text Char"/>
    <w:basedOn w:val="DefaultParagraphFont"/>
    <w:link w:val="EndnoteText"/>
    <w:uiPriority w:val="99"/>
    <w:semiHidden/>
    <w:locked/>
    <w:rPr>
      <w:rFonts w:cs="Times New Roman"/>
      <w:sz w:val="20"/>
      <w:szCs w:val="20"/>
    </w:rPr>
  </w:style>
  <w:style w:type="character" w:styleId="FollowedHyperlink">
    <w:name w:val="FollowedHyperlink"/>
    <w:basedOn w:val="DefaultParagraphFont"/>
    <w:uiPriority w:val="99"/>
    <w:rsid w:val="009A45B1"/>
    <w:rPr>
      <w:rFonts w:cs="Times New Roman"/>
      <w:color w:val="800080"/>
      <w:u w:val="single"/>
    </w:rPr>
  </w:style>
  <w:style w:type="table" w:styleId="TableGrid">
    <w:name w:val="Table Grid"/>
    <w:basedOn w:val="TableNormal"/>
    <w:uiPriority w:val="99"/>
    <w:rsid w:val="00940D87"/>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Style">
    <w:name w:val="TextStyle"/>
    <w:basedOn w:val="Normal"/>
    <w:qFormat/>
    <w:rsid w:val="0075202E"/>
    <w:pPr>
      <w:autoSpaceDE w:val="0"/>
      <w:autoSpaceDN w:val="0"/>
      <w:spacing w:after="200" w:line="276" w:lineRule="auto"/>
    </w:pPr>
    <w:rPr>
      <w:color w:val="0000FF"/>
      <w:sz w:val="21"/>
      <w:szCs w:val="21"/>
    </w:rPr>
  </w:style>
  <w:style w:type="paragraph" w:customStyle="1" w:styleId="TableStyle">
    <w:name w:val="TableStyle"/>
    <w:basedOn w:val="TextStyle"/>
    <w:qFormat/>
    <w:rsid w:val="00605A5E"/>
    <w:pPr>
      <w:spacing w:before="60" w:after="60" w:line="240" w:lineRule="auto"/>
    </w:pPr>
  </w:style>
  <w:style w:type="character" w:customStyle="1" w:styleId="AQBReferance">
    <w:name w:val="AQB Referance"/>
    <w:qFormat/>
    <w:rsid w:val="00605A5E"/>
    <w:rPr>
      <w:color w:val="0000FF"/>
    </w:rPr>
  </w:style>
  <w:style w:type="paragraph" w:customStyle="1" w:styleId="AQBCLvl-1">
    <w:name w:val="AQBC Lvl-1"/>
    <w:link w:val="AQBCLvl-1Char"/>
    <w:qFormat/>
    <w:rsid w:val="00605A5E"/>
    <w:pPr>
      <w:numPr>
        <w:numId w:val="3"/>
      </w:numPr>
      <w:spacing w:beforeLines="100" w:after="0" w:line="240" w:lineRule="auto"/>
      <w:jc w:val="both"/>
    </w:pPr>
    <w:rPr>
      <w:sz w:val="24"/>
      <w:szCs w:val="20"/>
    </w:rPr>
  </w:style>
  <w:style w:type="character" w:customStyle="1" w:styleId="AQBCLvl-1Char">
    <w:name w:val="AQBC Lvl-1 Char"/>
    <w:link w:val="AQBCLvl-1"/>
    <w:locked/>
    <w:rsid w:val="00605A5E"/>
    <w:rPr>
      <w:sz w:val="20"/>
    </w:rPr>
  </w:style>
  <w:style w:type="paragraph" w:customStyle="1" w:styleId="AQBCLvl-2">
    <w:name w:val="AQBC Lvl-2"/>
    <w:qFormat/>
    <w:rsid w:val="00605A5E"/>
    <w:pPr>
      <w:numPr>
        <w:ilvl w:val="1"/>
        <w:numId w:val="3"/>
      </w:numPr>
      <w:spacing w:beforeLines="50" w:after="0" w:line="240" w:lineRule="auto"/>
      <w:jc w:val="both"/>
    </w:pPr>
    <w:rPr>
      <w:sz w:val="24"/>
      <w:szCs w:val="20"/>
    </w:rPr>
  </w:style>
  <w:style w:type="paragraph" w:customStyle="1" w:styleId="AQBCLvl-3">
    <w:name w:val="AQBC Lvl-3"/>
    <w:basedOn w:val="AQBCLvl-2"/>
    <w:qFormat/>
    <w:rsid w:val="00605A5E"/>
    <w:pPr>
      <w:numPr>
        <w:ilvl w:val="2"/>
      </w:numPr>
    </w:pPr>
  </w:style>
  <w:style w:type="paragraph" w:customStyle="1" w:styleId="AQBCLvl-4">
    <w:name w:val="AQBC Lvl-4"/>
    <w:basedOn w:val="AQBCLvl-3"/>
    <w:qFormat/>
    <w:rsid w:val="00605A5E"/>
    <w:pPr>
      <w:numPr>
        <w:ilvl w:val="3"/>
      </w:numPr>
      <w:tabs>
        <w:tab w:val="left" w:pos="2340"/>
      </w:tabs>
    </w:pPr>
  </w:style>
  <w:style w:type="paragraph" w:styleId="ListParagraph">
    <w:name w:val="List Paragraph"/>
    <w:basedOn w:val="Normal"/>
    <w:uiPriority w:val="34"/>
    <w:qFormat/>
    <w:rsid w:val="00F027C3"/>
    <w:pPr>
      <w:ind w:left="720"/>
    </w:pPr>
    <w:rPr>
      <w:rFonts w:ascii="Calibri" w:hAnsi="Calibri"/>
      <w:sz w:val="22"/>
      <w:szCs w:val="22"/>
    </w:rPr>
  </w:style>
  <w:style w:type="paragraph" w:customStyle="1" w:styleId="ConditionIndent">
    <w:name w:val="Condition Indent"/>
    <w:basedOn w:val="Normal"/>
    <w:rsid w:val="004A2C4D"/>
    <w:pPr>
      <w:tabs>
        <w:tab w:val="left" w:pos="-1440"/>
        <w:tab w:val="num" w:pos="1440"/>
      </w:tabs>
      <w:snapToGrid w:val="0"/>
      <w:spacing w:before="240"/>
      <w:ind w:left="1440" w:hanging="720"/>
      <w:jc w:val="both"/>
    </w:pPr>
    <w:rPr>
      <w:szCs w:val="20"/>
    </w:rPr>
  </w:style>
  <w:style w:type="paragraph" w:customStyle="1" w:styleId="AQBHPart">
    <w:name w:val="AQBH Part"/>
    <w:basedOn w:val="Heading1"/>
    <w:next w:val="Normal"/>
    <w:qFormat/>
    <w:rsid w:val="004A2C4D"/>
    <w:pPr>
      <w:numPr>
        <w:numId w:val="10"/>
      </w:numPr>
      <w:tabs>
        <w:tab w:val="left" w:pos="1200"/>
        <w:tab w:val="right" w:leader="dot" w:pos="9350"/>
      </w:tabs>
      <w:autoSpaceDE/>
      <w:autoSpaceDN/>
      <w:adjustRightInd/>
      <w:spacing w:before="480" w:after="240"/>
      <w:jc w:val="both"/>
    </w:pPr>
    <w:rPr>
      <w:rFonts w:ascii="Times New Roman Bold" w:hAnsi="Times New Roman Bold"/>
      <w:caps/>
      <w:sz w:val="24"/>
      <w:szCs w:val="20"/>
      <w:u w:val="single"/>
    </w:rPr>
  </w:style>
  <w:style w:type="paragraph" w:customStyle="1" w:styleId="AQBHSection100">
    <w:name w:val="AQBH Section 100"/>
    <w:basedOn w:val="Heading2"/>
    <w:qFormat/>
    <w:rsid w:val="004A2C4D"/>
    <w:pPr>
      <w:widowControl w:val="0"/>
      <w:numPr>
        <w:ilvl w:val="1"/>
        <w:numId w:val="10"/>
      </w:numPr>
      <w:spacing w:before="360" w:after="0"/>
      <w:jc w:val="both"/>
    </w:pPr>
    <w:rPr>
      <w:rFonts w:ascii="Times New Roman" w:eastAsia="Times New Roman" w:hAnsi="Times New Roman"/>
      <w:bCs w:val="0"/>
      <w:i w:val="0"/>
      <w:iCs w:val="0"/>
      <w:sz w:val="24"/>
      <w:szCs w:val="20"/>
      <w:u w:val="single"/>
    </w:rPr>
  </w:style>
  <w:style w:type="paragraph" w:customStyle="1" w:styleId="AQBTCondition">
    <w:name w:val="AQBT Condition"/>
    <w:basedOn w:val="Normal"/>
    <w:rsid w:val="00A34E91"/>
    <w:pPr>
      <w:widowControl w:val="0"/>
      <w:jc w:val="both"/>
    </w:pPr>
    <w:rPr>
      <w:szCs w:val="20"/>
    </w:rPr>
  </w:style>
  <w:style w:type="paragraph" w:customStyle="1" w:styleId="AQBHFreeStyle">
    <w:name w:val="AQBH Free Style"/>
    <w:basedOn w:val="Heading1"/>
    <w:uiPriority w:val="1"/>
    <w:qFormat/>
    <w:rsid w:val="0000783A"/>
    <w:pPr>
      <w:autoSpaceDE/>
      <w:autoSpaceDN/>
      <w:adjustRightInd/>
      <w:spacing w:before="480" w:after="240"/>
      <w:jc w:val="both"/>
    </w:pPr>
    <w:rPr>
      <w:rFonts w:ascii="Times New Roman Bold" w:hAnsi="Times New Roman Bold"/>
      <w:bCs w:val="0"/>
      <w:smallCaps/>
      <w:sz w:val="24"/>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947963">
      <w:bodyDiv w:val="1"/>
      <w:marLeft w:val="0"/>
      <w:marRight w:val="0"/>
      <w:marTop w:val="0"/>
      <w:marBottom w:val="0"/>
      <w:divBdr>
        <w:top w:val="none" w:sz="0" w:space="0" w:color="auto"/>
        <w:left w:val="none" w:sz="0" w:space="0" w:color="auto"/>
        <w:bottom w:val="none" w:sz="0" w:space="0" w:color="auto"/>
        <w:right w:val="none" w:sz="0" w:space="0" w:color="auto"/>
      </w:divBdr>
    </w:div>
    <w:div w:id="213085921">
      <w:bodyDiv w:val="1"/>
      <w:marLeft w:val="0"/>
      <w:marRight w:val="0"/>
      <w:marTop w:val="0"/>
      <w:marBottom w:val="0"/>
      <w:divBdr>
        <w:top w:val="none" w:sz="0" w:space="0" w:color="auto"/>
        <w:left w:val="none" w:sz="0" w:space="0" w:color="auto"/>
        <w:bottom w:val="none" w:sz="0" w:space="0" w:color="auto"/>
        <w:right w:val="none" w:sz="0" w:space="0" w:color="auto"/>
      </w:divBdr>
    </w:div>
    <w:div w:id="1139422313">
      <w:bodyDiv w:val="1"/>
      <w:marLeft w:val="0"/>
      <w:marRight w:val="0"/>
      <w:marTop w:val="0"/>
      <w:marBottom w:val="0"/>
      <w:divBdr>
        <w:top w:val="none" w:sz="0" w:space="0" w:color="auto"/>
        <w:left w:val="none" w:sz="0" w:space="0" w:color="auto"/>
        <w:bottom w:val="none" w:sz="0" w:space="0" w:color="auto"/>
        <w:right w:val="none" w:sz="0" w:space="0" w:color="auto"/>
      </w:divBdr>
    </w:div>
    <w:div w:id="1305817382">
      <w:marLeft w:val="0"/>
      <w:marRight w:val="0"/>
      <w:marTop w:val="0"/>
      <w:marBottom w:val="0"/>
      <w:divBdr>
        <w:top w:val="none" w:sz="0" w:space="0" w:color="auto"/>
        <w:left w:val="none" w:sz="0" w:space="0" w:color="auto"/>
        <w:bottom w:val="none" w:sz="0" w:space="0" w:color="auto"/>
        <w:right w:val="none" w:sz="0" w:space="0" w:color="auto"/>
      </w:divBdr>
    </w:div>
    <w:div w:id="1305817383">
      <w:marLeft w:val="0"/>
      <w:marRight w:val="0"/>
      <w:marTop w:val="0"/>
      <w:marBottom w:val="0"/>
      <w:divBdr>
        <w:top w:val="none" w:sz="0" w:space="0" w:color="auto"/>
        <w:left w:val="none" w:sz="0" w:space="0" w:color="auto"/>
        <w:bottom w:val="none" w:sz="0" w:space="0" w:color="auto"/>
        <w:right w:val="none" w:sz="0" w:space="0" w:color="auto"/>
      </w:divBdr>
    </w:div>
    <w:div w:id="1305817384">
      <w:marLeft w:val="0"/>
      <w:marRight w:val="0"/>
      <w:marTop w:val="0"/>
      <w:marBottom w:val="0"/>
      <w:divBdr>
        <w:top w:val="none" w:sz="0" w:space="0" w:color="auto"/>
        <w:left w:val="none" w:sz="0" w:space="0" w:color="auto"/>
        <w:bottom w:val="none" w:sz="0" w:space="0" w:color="auto"/>
        <w:right w:val="none" w:sz="0" w:space="0" w:color="auto"/>
      </w:divBdr>
    </w:div>
    <w:div w:id="1305817385">
      <w:marLeft w:val="0"/>
      <w:marRight w:val="0"/>
      <w:marTop w:val="0"/>
      <w:marBottom w:val="0"/>
      <w:divBdr>
        <w:top w:val="none" w:sz="0" w:space="0" w:color="auto"/>
        <w:left w:val="none" w:sz="0" w:space="0" w:color="auto"/>
        <w:bottom w:val="none" w:sz="0" w:space="0" w:color="auto"/>
        <w:right w:val="none" w:sz="0" w:space="0" w:color="auto"/>
      </w:divBdr>
    </w:div>
    <w:div w:id="1305817386">
      <w:marLeft w:val="0"/>
      <w:marRight w:val="0"/>
      <w:marTop w:val="0"/>
      <w:marBottom w:val="0"/>
      <w:divBdr>
        <w:top w:val="none" w:sz="0" w:space="0" w:color="auto"/>
        <w:left w:val="none" w:sz="0" w:space="0" w:color="auto"/>
        <w:bottom w:val="none" w:sz="0" w:space="0" w:color="auto"/>
        <w:right w:val="none" w:sz="0" w:space="0" w:color="auto"/>
      </w:divBdr>
    </w:div>
    <w:div w:id="1305817387">
      <w:marLeft w:val="0"/>
      <w:marRight w:val="0"/>
      <w:marTop w:val="0"/>
      <w:marBottom w:val="0"/>
      <w:divBdr>
        <w:top w:val="none" w:sz="0" w:space="0" w:color="auto"/>
        <w:left w:val="none" w:sz="0" w:space="0" w:color="auto"/>
        <w:bottom w:val="none" w:sz="0" w:space="0" w:color="auto"/>
        <w:right w:val="none" w:sz="0" w:space="0" w:color="auto"/>
      </w:divBdr>
    </w:div>
    <w:div w:id="1305817388">
      <w:marLeft w:val="0"/>
      <w:marRight w:val="0"/>
      <w:marTop w:val="0"/>
      <w:marBottom w:val="0"/>
      <w:divBdr>
        <w:top w:val="none" w:sz="0" w:space="0" w:color="auto"/>
        <w:left w:val="none" w:sz="0" w:space="0" w:color="auto"/>
        <w:bottom w:val="none" w:sz="0" w:space="0" w:color="auto"/>
        <w:right w:val="none" w:sz="0" w:space="0" w:color="auto"/>
      </w:divBdr>
    </w:div>
    <w:div w:id="1305817389">
      <w:marLeft w:val="0"/>
      <w:marRight w:val="0"/>
      <w:marTop w:val="0"/>
      <w:marBottom w:val="0"/>
      <w:divBdr>
        <w:top w:val="none" w:sz="0" w:space="0" w:color="auto"/>
        <w:left w:val="none" w:sz="0" w:space="0" w:color="auto"/>
        <w:bottom w:val="none" w:sz="0" w:space="0" w:color="auto"/>
        <w:right w:val="none" w:sz="0" w:space="0" w:color="auto"/>
      </w:divBdr>
    </w:div>
    <w:div w:id="1305817390">
      <w:marLeft w:val="0"/>
      <w:marRight w:val="0"/>
      <w:marTop w:val="0"/>
      <w:marBottom w:val="0"/>
      <w:divBdr>
        <w:top w:val="none" w:sz="0" w:space="0" w:color="auto"/>
        <w:left w:val="none" w:sz="0" w:space="0" w:color="auto"/>
        <w:bottom w:val="none" w:sz="0" w:space="0" w:color="auto"/>
        <w:right w:val="none" w:sz="0" w:space="0" w:color="auto"/>
      </w:divBdr>
    </w:div>
    <w:div w:id="1305817391">
      <w:marLeft w:val="0"/>
      <w:marRight w:val="0"/>
      <w:marTop w:val="0"/>
      <w:marBottom w:val="0"/>
      <w:divBdr>
        <w:top w:val="none" w:sz="0" w:space="0" w:color="auto"/>
        <w:left w:val="none" w:sz="0" w:space="0" w:color="auto"/>
        <w:bottom w:val="none" w:sz="0" w:space="0" w:color="auto"/>
        <w:right w:val="none" w:sz="0" w:space="0" w:color="auto"/>
      </w:divBdr>
    </w:div>
    <w:div w:id="130581739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70475-2B7E-468F-A67F-A7011F109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15</Pages>
  <Words>5069</Words>
  <Characters>27632</Characters>
  <Application>Microsoft Office Word</Application>
  <DocSecurity>0</DocSecurity>
  <Lines>1062</Lines>
  <Paragraphs>447</Paragraphs>
  <ScaleCrop>false</ScaleCrop>
  <HeadingPairs>
    <vt:vector size="2" baseType="variant">
      <vt:variant>
        <vt:lpstr>Title</vt:lpstr>
      </vt:variant>
      <vt:variant>
        <vt:i4>1</vt:i4>
      </vt:variant>
    </vt:vector>
  </HeadingPairs>
  <TitlesOfParts>
    <vt:vector size="1" baseType="lpstr">
      <vt:lpstr>Track-</vt:lpstr>
    </vt:vector>
  </TitlesOfParts>
  <Company>NMED</Company>
  <LinksUpToDate>false</LinksUpToDate>
  <CharactersWithSpaces>32254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Track-</dc:title>
  <dc:subject/>
  <dc:creator>Erik Aaboe</dc:creator>
  <cp:keywords/>
  <dc:description/>
  <cp:lastModifiedBy>Kirby Olson</cp:lastModifiedBy>
  <cp:revision>8</cp:revision>
  <cp:lastPrinted>2016-07-11T20:48:00Z</cp:lastPrinted>
  <dcterms:created xsi:type="dcterms:W3CDTF">2018-11-21T17:15:00Z</dcterms:created>
  <dcterms:modified xsi:type="dcterms:W3CDTF">2018-11-21T22:25:00Z</dcterms:modified>
</cp:coreProperties>
</file>