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6A1" w:rsidRDefault="003936A1" w:rsidP="00845213">
      <w:pPr>
        <w:contextualSpacing/>
        <w:rPr>
          <w:rFonts w:asciiTheme="majorHAnsi" w:hAnsiTheme="majorHAnsi"/>
          <w:b/>
        </w:rPr>
      </w:pPr>
      <w:bookmarkStart w:id="0" w:name="_GoBack"/>
      <w:bookmarkEnd w:id="0"/>
    </w:p>
    <w:p w:rsidR="00A059BF" w:rsidRDefault="00845213" w:rsidP="00845213">
      <w:pPr>
        <w:contextualSpacing/>
        <w:rPr>
          <w:rFonts w:asciiTheme="majorHAnsi" w:hAnsiTheme="majorHAnsi"/>
          <w:b/>
          <w:sz w:val="32"/>
          <w:szCs w:val="32"/>
        </w:rPr>
      </w:pPr>
      <w:r w:rsidRPr="00A059BF">
        <w:rPr>
          <w:rFonts w:asciiTheme="majorHAnsi" w:hAnsiTheme="majorHAnsi"/>
          <w:b/>
          <w:sz w:val="32"/>
          <w:szCs w:val="32"/>
        </w:rPr>
        <w:t xml:space="preserve">Training Objectives and Expected Learning Outcomes for </w:t>
      </w:r>
      <w:r w:rsidR="007E019C">
        <w:rPr>
          <w:rFonts w:asciiTheme="majorHAnsi" w:hAnsiTheme="majorHAnsi"/>
          <w:b/>
          <w:sz w:val="32"/>
          <w:szCs w:val="32"/>
        </w:rPr>
        <w:t>Basic</w:t>
      </w:r>
      <w:r w:rsidRPr="00A059BF">
        <w:rPr>
          <w:rFonts w:asciiTheme="majorHAnsi" w:hAnsiTheme="majorHAnsi"/>
          <w:b/>
          <w:sz w:val="32"/>
          <w:szCs w:val="32"/>
        </w:rPr>
        <w:t xml:space="preserve"> Board Training</w:t>
      </w:r>
      <w:r w:rsidR="00AE051C" w:rsidRPr="00A059BF">
        <w:rPr>
          <w:rFonts w:asciiTheme="majorHAnsi" w:hAnsiTheme="majorHAnsi"/>
          <w:b/>
          <w:sz w:val="32"/>
          <w:szCs w:val="32"/>
        </w:rPr>
        <w:t xml:space="preserve"> </w:t>
      </w:r>
    </w:p>
    <w:p w:rsidR="00845213" w:rsidRDefault="00AE051C" w:rsidP="00845213">
      <w:pPr>
        <w:contextualSpacing/>
        <w:rPr>
          <w:rFonts w:asciiTheme="majorHAnsi" w:hAnsiTheme="majorHAnsi"/>
          <w:b/>
          <w:sz w:val="32"/>
          <w:szCs w:val="32"/>
        </w:rPr>
      </w:pPr>
      <w:r w:rsidRPr="00A059BF">
        <w:rPr>
          <w:rFonts w:asciiTheme="majorHAnsi" w:hAnsiTheme="majorHAnsi"/>
          <w:b/>
          <w:sz w:val="32"/>
          <w:szCs w:val="32"/>
        </w:rPr>
        <w:t>P</w:t>
      </w:r>
      <w:r w:rsidR="00E8229C" w:rsidRPr="00A059BF">
        <w:rPr>
          <w:rFonts w:asciiTheme="majorHAnsi" w:hAnsiTheme="majorHAnsi"/>
          <w:b/>
          <w:sz w:val="32"/>
          <w:szCs w:val="32"/>
        </w:rPr>
        <w:t>rovided</w:t>
      </w:r>
      <w:r w:rsidRPr="00A059BF">
        <w:rPr>
          <w:rFonts w:asciiTheme="majorHAnsi" w:hAnsiTheme="majorHAnsi"/>
          <w:b/>
          <w:sz w:val="32"/>
          <w:szCs w:val="32"/>
        </w:rPr>
        <w:t xml:space="preserve"> or F</w:t>
      </w:r>
      <w:r w:rsidR="00E8229C" w:rsidRPr="00A059BF">
        <w:rPr>
          <w:rFonts w:asciiTheme="majorHAnsi" w:hAnsiTheme="majorHAnsi"/>
          <w:b/>
          <w:sz w:val="32"/>
          <w:szCs w:val="32"/>
        </w:rPr>
        <w:t>unded by the New Mexico Environment Department Drinking Water Bureau</w:t>
      </w:r>
    </w:p>
    <w:p w:rsidR="00AD681B" w:rsidRDefault="00AD681B" w:rsidP="00845213">
      <w:pPr>
        <w:contextualSpacing/>
        <w:rPr>
          <w:rFonts w:asciiTheme="majorHAnsi" w:hAnsiTheme="majorHAnsi"/>
          <w:b/>
          <w:color w:val="FF0000"/>
          <w:sz w:val="22"/>
          <w:szCs w:val="22"/>
        </w:rPr>
      </w:pPr>
    </w:p>
    <w:p w:rsidR="00AD681B" w:rsidRPr="00AD681B" w:rsidRDefault="007E019C" w:rsidP="00845213">
      <w:pPr>
        <w:contextualSpacing/>
        <w:rPr>
          <w:rFonts w:asciiTheme="majorHAnsi" w:hAnsiTheme="majorHAnsi"/>
          <w:sz w:val="22"/>
          <w:szCs w:val="22"/>
        </w:rPr>
      </w:pPr>
      <w:r>
        <w:rPr>
          <w:rFonts w:asciiTheme="majorHAnsi" w:hAnsiTheme="majorHAnsi"/>
          <w:sz w:val="22"/>
          <w:szCs w:val="22"/>
        </w:rPr>
        <w:t>This</w:t>
      </w:r>
      <w:r w:rsidR="00AD681B">
        <w:rPr>
          <w:rFonts w:asciiTheme="majorHAnsi" w:hAnsiTheme="majorHAnsi"/>
          <w:sz w:val="22"/>
          <w:szCs w:val="22"/>
        </w:rPr>
        <w:t xml:space="preserve"> training</w:t>
      </w:r>
      <w:r>
        <w:rPr>
          <w:rFonts w:asciiTheme="majorHAnsi" w:hAnsiTheme="majorHAnsi"/>
          <w:sz w:val="22"/>
          <w:szCs w:val="22"/>
        </w:rPr>
        <w:t xml:space="preserve"> is</w:t>
      </w:r>
      <w:r w:rsidR="00AD681B">
        <w:rPr>
          <w:rFonts w:asciiTheme="majorHAnsi" w:hAnsiTheme="majorHAnsi"/>
          <w:sz w:val="22"/>
          <w:szCs w:val="22"/>
        </w:rPr>
        <w:t xml:space="preserve"> designed to meet the requirements</w:t>
      </w:r>
      <w:r>
        <w:rPr>
          <w:rFonts w:asciiTheme="majorHAnsi" w:hAnsiTheme="majorHAnsi"/>
          <w:sz w:val="22"/>
          <w:szCs w:val="22"/>
        </w:rPr>
        <w:t xml:space="preserve"> for initial board training in</w:t>
      </w:r>
      <w:r w:rsidR="00AD681B">
        <w:rPr>
          <w:rFonts w:asciiTheme="majorHAnsi" w:hAnsiTheme="majorHAnsi"/>
          <w:sz w:val="22"/>
          <w:szCs w:val="22"/>
        </w:rPr>
        <w:t xml:space="preserve"> the Sanitary Projects Act </w:t>
      </w:r>
      <w:r w:rsidR="00AD681B" w:rsidRPr="00AD681B">
        <w:rPr>
          <w:rFonts w:asciiTheme="majorHAnsi" w:hAnsiTheme="majorHAnsi"/>
          <w:sz w:val="22"/>
          <w:szCs w:val="22"/>
        </w:rPr>
        <w:t>Board Training Rule (20.12.2 NMAC).</w:t>
      </w:r>
    </w:p>
    <w:p w:rsidR="00DD2853" w:rsidRDefault="00DD2853" w:rsidP="00845213">
      <w:pPr>
        <w:contextualSpacing/>
        <w:rPr>
          <w:rFonts w:asciiTheme="majorHAnsi" w:hAnsiTheme="majorHAnsi"/>
          <w:b/>
        </w:rPr>
      </w:pPr>
    </w:p>
    <w:p w:rsidR="009F2F75" w:rsidRPr="009F2F75" w:rsidRDefault="009F2F75" w:rsidP="009F2F75">
      <w:pPr>
        <w:keepNext/>
        <w:keepLines/>
        <w:contextualSpacing/>
        <w:jc w:val="center"/>
        <w:rPr>
          <w:rFonts w:asciiTheme="majorHAnsi" w:hAnsiTheme="majorHAnsi"/>
          <w:b/>
          <w:sz w:val="32"/>
          <w:szCs w:val="32"/>
        </w:rPr>
      </w:pPr>
      <w:r w:rsidRPr="009F2F75">
        <w:rPr>
          <w:rFonts w:asciiTheme="majorHAnsi" w:hAnsiTheme="majorHAnsi"/>
          <w:b/>
          <w:sz w:val="32"/>
          <w:szCs w:val="32"/>
        </w:rPr>
        <w:t>TABLE 1: Basic Board Training Session I (6 hours)</w:t>
      </w:r>
    </w:p>
    <w:tbl>
      <w:tblPr>
        <w:tblStyle w:val="MediumList1"/>
        <w:tblW w:w="0" w:type="auto"/>
        <w:tblLook w:val="04A0" w:firstRow="1" w:lastRow="0" w:firstColumn="1" w:lastColumn="0" w:noHBand="0" w:noVBand="1"/>
      </w:tblPr>
      <w:tblGrid>
        <w:gridCol w:w="456"/>
        <w:gridCol w:w="4285"/>
        <w:gridCol w:w="4605"/>
        <w:gridCol w:w="3830"/>
      </w:tblGrid>
      <w:tr w:rsidR="009F2F75" w:rsidRPr="009F2F75" w:rsidTr="00D27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keepNext/>
              <w:keepLines/>
              <w:contextualSpacing/>
              <w:rPr>
                <w:sz w:val="22"/>
                <w:szCs w:val="22"/>
              </w:rPr>
            </w:pPr>
            <w:r w:rsidRPr="009F2F75">
              <w:rPr>
                <w:sz w:val="22"/>
                <w:szCs w:val="22"/>
              </w:rPr>
              <w:t>#</w:t>
            </w:r>
          </w:p>
        </w:tc>
        <w:tc>
          <w:tcPr>
            <w:tcW w:w="4285"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Training Objective</w:t>
            </w:r>
          </w:p>
        </w:tc>
        <w:tc>
          <w:tcPr>
            <w:tcW w:w="4605"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Learning Outcome</w:t>
            </w:r>
          </w:p>
        </w:tc>
        <w:tc>
          <w:tcPr>
            <w:tcW w:w="3830"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Suggested Resources/Handouts</w:t>
            </w: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1</w:t>
            </w:r>
          </w:p>
        </w:tc>
        <w:tc>
          <w:tcPr>
            <w:tcW w:w="4285"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Review the purpose and the basic requirements of the Safe Drinking Water Act, drinking water regulations, and the Utility Operator Certification Act. Describe the roles of the board and operator at a water system. </w:t>
            </w:r>
          </w:p>
        </w:tc>
        <w:tc>
          <w:tcPr>
            <w:tcW w:w="4605"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Understand the purpose of the Safe Drinking Water Act. Obtain a high-level understanding of the requirements in the Safe Drinking Water Act, drinking water regulations, and the Utility Operator Certification Act, and be able to work together as a board with your operator to ensure your water system’s compliance with them. </w:t>
            </w:r>
          </w:p>
        </w:tc>
        <w:tc>
          <w:tcPr>
            <w:tcW w:w="3830" w:type="dxa"/>
          </w:tcPr>
          <w:p w:rsidR="009F2F75" w:rsidRPr="009F2F75" w:rsidRDefault="009F2F75" w:rsidP="009F2F75">
            <w:pPr>
              <w:pStyle w:val="ListParagraph"/>
              <w:numPr>
                <w:ilvl w:val="0"/>
                <w:numId w:val="4"/>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Basic Responsibilities of Public Water Systems</w:t>
            </w:r>
            <w:r w:rsidRPr="009F2F75">
              <w:rPr>
                <w:rFonts w:asciiTheme="majorHAnsi" w:hAnsiTheme="majorHAnsi"/>
                <w:sz w:val="22"/>
                <w:szCs w:val="22"/>
              </w:rPr>
              <w:t xml:space="preserve"> brochure (NMED-DWB)</w:t>
            </w:r>
          </w:p>
          <w:p w:rsidR="009F2F75" w:rsidRPr="009F2F75" w:rsidRDefault="009F2F75" w:rsidP="009F2F75">
            <w:pPr>
              <w:pStyle w:val="ListParagraph"/>
              <w:numPr>
                <w:ilvl w:val="0"/>
                <w:numId w:val="4"/>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A Drop of Knowledge: The Non-Operator’s Guide to Drinking Water Systems</w:t>
            </w:r>
            <w:r w:rsidRPr="009F2F75">
              <w:rPr>
                <w:rFonts w:asciiTheme="majorHAnsi" w:hAnsiTheme="majorHAnsi"/>
                <w:sz w:val="22"/>
                <w:szCs w:val="22"/>
              </w:rPr>
              <w:t xml:space="preserve"> handbook (RCAP)</w:t>
            </w:r>
          </w:p>
          <w:p w:rsidR="009F2F75" w:rsidRPr="009F2F75" w:rsidRDefault="009F2F75" w:rsidP="009F2F75">
            <w:pPr>
              <w:pStyle w:val="ListParagraph"/>
              <w:numPr>
                <w:ilvl w:val="0"/>
                <w:numId w:val="4"/>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 xml:space="preserve">The Big Guide to Small Systems: A Resource for Board Members </w:t>
            </w:r>
            <w:r w:rsidRPr="009F2F75">
              <w:rPr>
                <w:rFonts w:asciiTheme="majorHAnsi" w:hAnsiTheme="majorHAnsi"/>
                <w:sz w:val="22"/>
                <w:szCs w:val="22"/>
              </w:rPr>
              <w:t>handbook (RCAP)</w:t>
            </w:r>
          </w:p>
          <w:p w:rsidR="009F2F75" w:rsidRPr="009F2F75" w:rsidDel="00F82341" w:rsidRDefault="009F2F75" w:rsidP="009F2F75">
            <w:pPr>
              <w:pStyle w:val="ListParagraph"/>
              <w:numPr>
                <w:ilvl w:val="0"/>
                <w:numId w:val="4"/>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Water System Operator Roles and Responsibilities: A Best Practices Guide</w:t>
            </w:r>
            <w:r w:rsidRPr="009F2F75">
              <w:rPr>
                <w:rFonts w:asciiTheme="majorHAnsi" w:hAnsiTheme="majorHAnsi"/>
                <w:sz w:val="22"/>
                <w:szCs w:val="22"/>
              </w:rPr>
              <w:t xml:space="preserve"> (EPA)</w:t>
            </w:r>
          </w:p>
        </w:tc>
      </w:tr>
      <w:tr w:rsidR="009F2F75" w:rsidRPr="009F2F75" w:rsidTr="00D27C5C">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2</w:t>
            </w:r>
          </w:p>
        </w:tc>
        <w:tc>
          <w:tcPr>
            <w:tcW w:w="428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Review the different water system organization types in New Mexico and identify the applicable laws enabling their creation (e.g. Sanitary Projects Act for MDWCAs). </w:t>
            </w:r>
          </w:p>
        </w:tc>
        <w:tc>
          <w:tcPr>
            <w:tcW w:w="460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Be able to identify your water system organization type and the State law under which your water system is organized. </w:t>
            </w:r>
          </w:p>
        </w:tc>
        <w:tc>
          <w:tcPr>
            <w:tcW w:w="3830" w:type="dxa"/>
          </w:tcPr>
          <w:p w:rsidR="009F2F75" w:rsidRPr="009F2F75" w:rsidRDefault="009F2F75" w:rsidP="00D27C5C">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Sanitary Projects Act</w:t>
            </w: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3</w:t>
            </w:r>
          </w:p>
        </w:tc>
        <w:tc>
          <w:tcPr>
            <w:tcW w:w="4285"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Examine how the Governmental Conduct Act, Open Meetings Act, Inspection of Public Records Act, Audit Act, DFA LGD reporting requirements, and Procurement Code support open and accountable government. </w:t>
            </w:r>
          </w:p>
        </w:tc>
        <w:tc>
          <w:tcPr>
            <w:tcW w:w="4605"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Understand the basic requirements of open and accountable government in the Governmental Conduct Act, Open Meetings Act, Inspection of Public Records Act, Audit Act (including DFA LGD reporting requirements), and Procurement Code laws, as applicable to your water system.</w:t>
            </w:r>
          </w:p>
        </w:tc>
        <w:tc>
          <w:tcPr>
            <w:tcW w:w="3830" w:type="dxa"/>
          </w:tcPr>
          <w:p w:rsidR="009F2F75" w:rsidRPr="009F2F75" w:rsidRDefault="009F2F75" w:rsidP="009F2F75">
            <w:pPr>
              <w:pStyle w:val="ListParagraph"/>
              <w:numPr>
                <w:ilvl w:val="0"/>
                <w:numId w:val="5"/>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Governmental Conduct Act</w:t>
            </w:r>
          </w:p>
          <w:p w:rsidR="009F2F75" w:rsidRPr="009F2F75" w:rsidRDefault="009F2F75" w:rsidP="009F2F75">
            <w:pPr>
              <w:pStyle w:val="ListParagraph"/>
              <w:numPr>
                <w:ilvl w:val="0"/>
                <w:numId w:val="5"/>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Open Meetings Act Compliance Guide</w:t>
            </w:r>
            <w:r w:rsidRPr="009F2F75">
              <w:rPr>
                <w:rFonts w:asciiTheme="majorHAnsi" w:hAnsiTheme="majorHAnsi"/>
                <w:sz w:val="22"/>
                <w:szCs w:val="22"/>
              </w:rPr>
              <w:t xml:space="preserve"> (NMAG)</w:t>
            </w:r>
          </w:p>
          <w:p w:rsidR="009F2F75" w:rsidRPr="009F2F75" w:rsidRDefault="009F2F75" w:rsidP="009F2F75">
            <w:pPr>
              <w:pStyle w:val="ListParagraph"/>
              <w:numPr>
                <w:ilvl w:val="0"/>
                <w:numId w:val="5"/>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Inspection of Public Records Act Compliance Guide</w:t>
            </w:r>
            <w:r w:rsidRPr="009F2F75">
              <w:rPr>
                <w:rFonts w:asciiTheme="majorHAnsi" w:hAnsiTheme="majorHAnsi"/>
                <w:sz w:val="22"/>
                <w:szCs w:val="22"/>
              </w:rPr>
              <w:t xml:space="preserve"> (NMAG)</w:t>
            </w:r>
          </w:p>
          <w:p w:rsidR="009F2F75" w:rsidRPr="009F2F75" w:rsidRDefault="009F2F75" w:rsidP="009F2F75">
            <w:pPr>
              <w:pStyle w:val="ListParagraph"/>
              <w:numPr>
                <w:ilvl w:val="0"/>
                <w:numId w:val="5"/>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 xml:space="preserve">Reporting Requirements for MDWCAs </w:t>
            </w:r>
            <w:r w:rsidRPr="009F2F75">
              <w:rPr>
                <w:rFonts w:asciiTheme="majorHAnsi" w:hAnsiTheme="majorHAnsi"/>
                <w:sz w:val="22"/>
                <w:szCs w:val="22"/>
              </w:rPr>
              <w:t>(RCAC)</w:t>
            </w:r>
          </w:p>
        </w:tc>
      </w:tr>
      <w:tr w:rsidR="009F2F75" w:rsidRPr="009F2F75" w:rsidTr="00D27C5C">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4</w:t>
            </w:r>
          </w:p>
        </w:tc>
        <w:tc>
          <w:tcPr>
            <w:tcW w:w="428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Define the purpose of governing documents and the distinction between Articles, Bylaws, </w:t>
            </w:r>
            <w:r w:rsidRPr="009F2F75">
              <w:rPr>
                <w:rFonts w:asciiTheme="majorHAnsi" w:hAnsiTheme="majorHAnsi"/>
                <w:sz w:val="22"/>
                <w:szCs w:val="22"/>
              </w:rPr>
              <w:lastRenderedPageBreak/>
              <w:t>and Rules/Regulations.</w:t>
            </w:r>
          </w:p>
        </w:tc>
        <w:tc>
          <w:tcPr>
            <w:tcW w:w="460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lastRenderedPageBreak/>
              <w:t xml:space="preserve">Use your water system’s governing documents appropriately in carrying out your board’s </w:t>
            </w:r>
            <w:r w:rsidRPr="009F2F75">
              <w:rPr>
                <w:rFonts w:asciiTheme="majorHAnsi" w:hAnsiTheme="majorHAnsi"/>
                <w:sz w:val="22"/>
                <w:szCs w:val="22"/>
              </w:rPr>
              <w:lastRenderedPageBreak/>
              <w:t>functions.</w:t>
            </w:r>
          </w:p>
        </w:tc>
        <w:tc>
          <w:tcPr>
            <w:tcW w:w="3830" w:type="dxa"/>
          </w:tcPr>
          <w:p w:rsidR="009F2F75" w:rsidRPr="009F2F75" w:rsidRDefault="009F2F75" w:rsidP="00D27C5C">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5</w:t>
            </w:r>
          </w:p>
        </w:tc>
        <w:tc>
          <w:tcPr>
            <w:tcW w:w="4285" w:type="dxa"/>
            <w:shd w:val="clear" w:color="auto" w:fill="BFBFBF" w:themeFill="background1" w:themeFillShade="BF"/>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Learn how to conduct a board meeting for a water system. Review proper meeting notice, agendas, minutes, and parliamentary procedures for small organizations. </w:t>
            </w:r>
          </w:p>
        </w:tc>
        <w:tc>
          <w:tcPr>
            <w:tcW w:w="4605"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Be able to run an efficient board meeting that complies with the Open Meetings Act at your water system.</w:t>
            </w:r>
          </w:p>
        </w:tc>
        <w:tc>
          <w:tcPr>
            <w:tcW w:w="3830" w:type="dxa"/>
          </w:tcPr>
          <w:p w:rsidR="009F2F75" w:rsidRPr="009F2F75" w:rsidRDefault="009F2F75" w:rsidP="009F2F75">
            <w:pPr>
              <w:pStyle w:val="ListParagraph"/>
              <w:numPr>
                <w:ilvl w:val="0"/>
                <w:numId w:val="6"/>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Open Meetings Act Compliance Guide</w:t>
            </w:r>
            <w:r w:rsidRPr="009F2F75">
              <w:rPr>
                <w:rFonts w:asciiTheme="majorHAnsi" w:hAnsiTheme="majorHAnsi"/>
                <w:sz w:val="22"/>
                <w:szCs w:val="22"/>
              </w:rPr>
              <w:t xml:space="preserve"> (NMAG)</w:t>
            </w:r>
          </w:p>
          <w:p w:rsidR="009F2F75" w:rsidRPr="009F2F75" w:rsidDel="00A54183" w:rsidRDefault="009F2F75" w:rsidP="009F2F75">
            <w:pPr>
              <w:pStyle w:val="ListParagraph"/>
              <w:numPr>
                <w:ilvl w:val="0"/>
                <w:numId w:val="6"/>
              </w:numPr>
              <w:ind w:left="284" w:hanging="27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Rosenberg’s Rules of Order</w:t>
            </w:r>
            <w:r w:rsidRPr="009F2F75">
              <w:rPr>
                <w:rFonts w:asciiTheme="majorHAnsi" w:hAnsiTheme="majorHAnsi"/>
                <w:sz w:val="22"/>
                <w:szCs w:val="22"/>
              </w:rPr>
              <w:t xml:space="preserve"> or other meeting procedural rules for small organizations </w:t>
            </w:r>
          </w:p>
        </w:tc>
      </w:tr>
      <w:tr w:rsidR="009F2F75" w:rsidRPr="009F2F75" w:rsidTr="00D27C5C">
        <w:tc>
          <w:tcPr>
            <w:cnfStyle w:val="001000000000" w:firstRow="0" w:lastRow="0" w:firstColumn="1" w:lastColumn="0" w:oddVBand="0" w:evenVBand="0" w:oddHBand="0" w:evenHBand="0" w:firstRowFirstColumn="0" w:firstRowLastColumn="0" w:lastRowFirstColumn="0" w:lastRowLastColumn="0"/>
            <w:tcW w:w="456"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6</w:t>
            </w:r>
          </w:p>
        </w:tc>
        <w:tc>
          <w:tcPr>
            <w:tcW w:w="428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Review best practices for conducting an election at a water system.</w:t>
            </w:r>
          </w:p>
        </w:tc>
        <w:tc>
          <w:tcPr>
            <w:tcW w:w="4605"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Be able to conduct an election at your water system.</w:t>
            </w:r>
          </w:p>
        </w:tc>
        <w:tc>
          <w:tcPr>
            <w:tcW w:w="3830"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top w:val="nil"/>
              <w:bottom w:val="single" w:sz="8" w:space="0" w:color="000000" w:themeColor="text1"/>
            </w:tcBorders>
            <w:shd w:val="clear" w:color="auto" w:fill="BFBFBF" w:themeFill="background1" w:themeFillShade="BF"/>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7</w:t>
            </w:r>
          </w:p>
        </w:tc>
        <w:tc>
          <w:tcPr>
            <w:tcW w:w="4285" w:type="dxa"/>
            <w:tcBorders>
              <w:top w:val="nil"/>
              <w:bottom w:val="single" w:sz="8" w:space="0" w:color="000000" w:themeColor="text1"/>
            </w:tcBorders>
            <w:shd w:val="clear" w:color="auto" w:fill="BFBFBF" w:themeFill="background1" w:themeFillShade="BF"/>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Define a water right and the State Engineer’s authority in administering water rights in New Mexico. Provide an overview of the requirements for acquiring and maintaining water </w:t>
            </w:r>
            <w:proofErr w:type="gramStart"/>
            <w:r w:rsidRPr="009F2F75">
              <w:rPr>
                <w:rFonts w:asciiTheme="majorHAnsi" w:hAnsiTheme="majorHAnsi"/>
                <w:sz w:val="22"/>
                <w:szCs w:val="22"/>
              </w:rPr>
              <w:t>rights, and</w:t>
            </w:r>
            <w:proofErr w:type="gramEnd"/>
            <w:r w:rsidRPr="009F2F75">
              <w:rPr>
                <w:rFonts w:asciiTheme="majorHAnsi" w:hAnsiTheme="majorHAnsi"/>
                <w:sz w:val="22"/>
                <w:szCs w:val="22"/>
              </w:rPr>
              <w:t xml:space="preserve"> reporting to the Office of the State Engineer.</w:t>
            </w:r>
          </w:p>
        </w:tc>
        <w:tc>
          <w:tcPr>
            <w:tcW w:w="4605" w:type="dxa"/>
            <w:tcBorders>
              <w:top w:val="nil"/>
              <w:bottom w:val="single" w:sz="8" w:space="0" w:color="000000" w:themeColor="text1"/>
            </w:tcBorders>
            <w:shd w:val="clear" w:color="auto" w:fill="BFBFBF" w:themeFill="background1" w:themeFillShade="BF"/>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Understand the basic obligations of water systems to the Office of the State Engineer. </w:t>
            </w:r>
          </w:p>
        </w:tc>
        <w:tc>
          <w:tcPr>
            <w:tcW w:w="3830" w:type="dxa"/>
            <w:tcBorders>
              <w:top w:val="nil"/>
              <w:bottom w:val="single" w:sz="8" w:space="0" w:color="000000" w:themeColor="text1"/>
            </w:tcBorders>
            <w:shd w:val="clear" w:color="auto" w:fill="BFBFBF" w:themeFill="background1" w:themeFillShade="BF"/>
          </w:tcPr>
          <w:p w:rsidR="009F2F75" w:rsidRPr="009F2F75" w:rsidRDefault="009F2F75" w:rsidP="00D27C5C">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A Water Rights Manual for Mutual Domestic Water Consumers Associations</w:t>
            </w:r>
            <w:r w:rsidRPr="009F2F75">
              <w:rPr>
                <w:rFonts w:asciiTheme="majorHAnsi" w:hAnsiTheme="majorHAnsi"/>
                <w:sz w:val="22"/>
                <w:szCs w:val="22"/>
              </w:rPr>
              <w:t xml:space="preserve"> (UNM </w:t>
            </w:r>
            <w:proofErr w:type="spellStart"/>
            <w:r w:rsidRPr="009F2F75">
              <w:rPr>
                <w:rFonts w:asciiTheme="majorHAnsi" w:hAnsiTheme="majorHAnsi"/>
                <w:sz w:val="22"/>
                <w:szCs w:val="22"/>
              </w:rPr>
              <w:t>Utton</w:t>
            </w:r>
            <w:proofErr w:type="spellEnd"/>
            <w:r w:rsidRPr="009F2F75">
              <w:rPr>
                <w:rFonts w:asciiTheme="majorHAnsi" w:hAnsiTheme="majorHAnsi"/>
                <w:sz w:val="22"/>
                <w:szCs w:val="22"/>
              </w:rPr>
              <w:t xml:space="preserve"> Center)</w:t>
            </w:r>
          </w:p>
        </w:tc>
      </w:tr>
    </w:tbl>
    <w:p w:rsidR="009F2F75" w:rsidRPr="009F2F75" w:rsidRDefault="009F2F75" w:rsidP="009F2F75">
      <w:pPr>
        <w:spacing w:after="60"/>
        <w:rPr>
          <w:rFonts w:asciiTheme="majorHAnsi" w:hAnsiTheme="majorHAnsi"/>
        </w:rPr>
      </w:pPr>
    </w:p>
    <w:p w:rsidR="009F2F75" w:rsidRPr="009F2F75" w:rsidRDefault="009F2F75" w:rsidP="009F2F75">
      <w:pPr>
        <w:keepNext/>
        <w:keepLines/>
        <w:spacing w:after="0"/>
        <w:jc w:val="center"/>
        <w:rPr>
          <w:rFonts w:asciiTheme="majorHAnsi" w:hAnsiTheme="majorHAnsi"/>
          <w:b/>
          <w:sz w:val="32"/>
          <w:szCs w:val="32"/>
        </w:rPr>
      </w:pPr>
      <w:r w:rsidRPr="009F2F75">
        <w:rPr>
          <w:rFonts w:asciiTheme="majorHAnsi" w:hAnsiTheme="majorHAnsi"/>
          <w:b/>
          <w:sz w:val="32"/>
          <w:szCs w:val="32"/>
        </w:rPr>
        <w:t>TABLE 2: Basic Board Training Session II (6 hours)</w:t>
      </w:r>
    </w:p>
    <w:tbl>
      <w:tblPr>
        <w:tblStyle w:val="MediumList1"/>
        <w:tblW w:w="0" w:type="auto"/>
        <w:tblLook w:val="04A0" w:firstRow="1" w:lastRow="0" w:firstColumn="1" w:lastColumn="0" w:noHBand="0" w:noVBand="1"/>
      </w:tblPr>
      <w:tblGrid>
        <w:gridCol w:w="414"/>
        <w:gridCol w:w="4251"/>
        <w:gridCol w:w="4527"/>
        <w:gridCol w:w="3984"/>
      </w:tblGrid>
      <w:tr w:rsidR="009F2F75" w:rsidRPr="009F2F75" w:rsidTr="00D27C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keepNext/>
              <w:keepLines/>
              <w:contextualSpacing/>
              <w:rPr>
                <w:sz w:val="22"/>
                <w:szCs w:val="22"/>
              </w:rPr>
            </w:pPr>
            <w:r w:rsidRPr="009F2F75">
              <w:rPr>
                <w:sz w:val="22"/>
                <w:szCs w:val="22"/>
              </w:rPr>
              <w:t>#</w:t>
            </w:r>
          </w:p>
        </w:tc>
        <w:tc>
          <w:tcPr>
            <w:tcW w:w="4251"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Training Objective</w:t>
            </w:r>
          </w:p>
        </w:tc>
        <w:tc>
          <w:tcPr>
            <w:tcW w:w="4527"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Learning Outcome</w:t>
            </w:r>
          </w:p>
        </w:tc>
        <w:tc>
          <w:tcPr>
            <w:tcW w:w="3984" w:type="dxa"/>
          </w:tcPr>
          <w:p w:rsidR="009F2F75" w:rsidRPr="009F2F75" w:rsidRDefault="009F2F75" w:rsidP="00D27C5C">
            <w:pPr>
              <w:keepNext/>
              <w:keepLines/>
              <w:contextualSpacing/>
              <w:cnfStyle w:val="100000000000" w:firstRow="1" w:lastRow="0" w:firstColumn="0" w:lastColumn="0" w:oddVBand="0" w:evenVBand="0" w:oddHBand="0" w:evenHBand="0" w:firstRowFirstColumn="0" w:firstRowLastColumn="0" w:lastRowFirstColumn="0" w:lastRowLastColumn="0"/>
              <w:rPr>
                <w:b/>
                <w:sz w:val="22"/>
                <w:szCs w:val="22"/>
              </w:rPr>
            </w:pPr>
            <w:r w:rsidRPr="009F2F75">
              <w:rPr>
                <w:b/>
                <w:sz w:val="22"/>
                <w:szCs w:val="22"/>
              </w:rPr>
              <w:t>Applicable Resources/Handouts</w:t>
            </w: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1</w:t>
            </w:r>
          </w:p>
        </w:tc>
        <w:tc>
          <w:tcPr>
            <w:tcW w:w="4251"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Demonstrate how to develop an annual budget.</w:t>
            </w:r>
          </w:p>
        </w:tc>
        <w:tc>
          <w:tcPr>
            <w:tcW w:w="4527"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Develop annual budgets for your water system. </w:t>
            </w:r>
          </w:p>
        </w:tc>
        <w:tc>
          <w:tcPr>
            <w:tcW w:w="3984" w:type="dxa"/>
          </w:tcPr>
          <w:p w:rsidR="009F2F75" w:rsidRPr="009F2F75" w:rsidRDefault="009F2F75" w:rsidP="00D27C5C">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Basics of Financial Management for Small-Community Utilities</w:t>
            </w:r>
            <w:r w:rsidRPr="009F2F75">
              <w:rPr>
                <w:rFonts w:asciiTheme="majorHAnsi" w:hAnsiTheme="majorHAnsi"/>
                <w:sz w:val="22"/>
                <w:szCs w:val="22"/>
              </w:rPr>
              <w:t xml:space="preserve"> handbook (RCAP)</w:t>
            </w:r>
          </w:p>
          <w:p w:rsidR="009F2F75" w:rsidRPr="009F2F75" w:rsidRDefault="009F2F75" w:rsidP="00D27C5C">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r>
      <w:tr w:rsidR="009F2F75" w:rsidRPr="009F2F75" w:rsidTr="00D27C5C">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2</w:t>
            </w:r>
          </w:p>
        </w:tc>
        <w:tc>
          <w:tcPr>
            <w:tcW w:w="4251"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Describe the types of reserve accounts that are recommended for water systems (i.e. Operating, Emergency, Capital Improvement, and Debt Reserves) and how to determine appropriate reserve allocations.</w:t>
            </w:r>
          </w:p>
        </w:tc>
        <w:tc>
          <w:tcPr>
            <w:tcW w:w="4527" w:type="dxa"/>
          </w:tcPr>
          <w:p w:rsidR="009F2F75" w:rsidRPr="009F2F75" w:rsidRDefault="009F2F75" w:rsidP="00D27C5C">
            <w:pPr>
              <w:spacing w:after="6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Establish and maintain appropriate reserves at your water system.</w:t>
            </w:r>
          </w:p>
        </w:tc>
        <w:tc>
          <w:tcPr>
            <w:tcW w:w="3984" w:type="dxa"/>
          </w:tcPr>
          <w:p w:rsidR="009F2F75" w:rsidRPr="009F2F75" w:rsidRDefault="009F2F75" w:rsidP="00D27C5C">
            <w:pPr>
              <w:spacing w:after="6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3</w:t>
            </w:r>
          </w:p>
        </w:tc>
        <w:tc>
          <w:tcPr>
            <w:tcW w:w="4251"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Define a rate study and provide resources on how to conduct a rate study.  </w:t>
            </w:r>
          </w:p>
        </w:tc>
        <w:tc>
          <w:tcPr>
            <w:tcW w:w="4527"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Understand what is entailed in a rate study. Be able to identify resources for conducting a rate study for your water system. </w:t>
            </w:r>
          </w:p>
        </w:tc>
        <w:tc>
          <w:tcPr>
            <w:tcW w:w="3984" w:type="dxa"/>
          </w:tcPr>
          <w:p w:rsidR="009F2F75" w:rsidRPr="009F2F75" w:rsidRDefault="009F2F75" w:rsidP="00D27C5C">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t xml:space="preserve">Formulate Great Rates: The Guide to Conducting a Rate Study for a Water System </w:t>
            </w:r>
            <w:r w:rsidRPr="009F2F75">
              <w:rPr>
                <w:rFonts w:asciiTheme="majorHAnsi" w:hAnsiTheme="majorHAnsi"/>
                <w:sz w:val="22"/>
                <w:szCs w:val="22"/>
              </w:rPr>
              <w:t>handbook (RCAP)</w:t>
            </w:r>
          </w:p>
        </w:tc>
      </w:tr>
      <w:tr w:rsidR="009F2F75" w:rsidRPr="009F2F75" w:rsidTr="00D27C5C">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t>4</w:t>
            </w:r>
          </w:p>
        </w:tc>
        <w:tc>
          <w:tcPr>
            <w:tcW w:w="4251"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Explain the standard financial statements and financial </w:t>
            </w:r>
            <w:proofErr w:type="gramStart"/>
            <w:r w:rsidRPr="009F2F75">
              <w:rPr>
                <w:rFonts w:asciiTheme="majorHAnsi" w:hAnsiTheme="majorHAnsi"/>
                <w:sz w:val="22"/>
                <w:szCs w:val="22"/>
              </w:rPr>
              <w:t>audits, and</w:t>
            </w:r>
            <w:proofErr w:type="gramEnd"/>
            <w:r w:rsidRPr="009F2F75">
              <w:rPr>
                <w:rFonts w:asciiTheme="majorHAnsi" w:hAnsiTheme="majorHAnsi"/>
                <w:sz w:val="22"/>
                <w:szCs w:val="22"/>
              </w:rPr>
              <w:t xml:space="preserve"> describe how they can be used to monitor the finances of a </w:t>
            </w:r>
            <w:r w:rsidRPr="009F2F75">
              <w:rPr>
                <w:rFonts w:asciiTheme="majorHAnsi" w:hAnsiTheme="majorHAnsi"/>
                <w:sz w:val="22"/>
                <w:szCs w:val="22"/>
              </w:rPr>
              <w:lastRenderedPageBreak/>
              <w:t>water system. Review the requirements of the Audit Act and the Department of Finance and Administration Local Government Division.</w:t>
            </w:r>
          </w:p>
        </w:tc>
        <w:tc>
          <w:tcPr>
            <w:tcW w:w="4527" w:type="dxa"/>
          </w:tcPr>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lastRenderedPageBreak/>
              <w:t xml:space="preserve">Understand how to monitor the finances of your water system using financial statements and audits. Be able to meet the reporting </w:t>
            </w:r>
            <w:r w:rsidRPr="009F2F75">
              <w:rPr>
                <w:rFonts w:asciiTheme="majorHAnsi" w:hAnsiTheme="majorHAnsi"/>
                <w:sz w:val="22"/>
                <w:szCs w:val="22"/>
              </w:rPr>
              <w:lastRenderedPageBreak/>
              <w:t>requirements of the Audit Act and the Department of Finance and Administration Local Government Division, as applicable.</w:t>
            </w:r>
          </w:p>
        </w:tc>
        <w:tc>
          <w:tcPr>
            <w:tcW w:w="3984" w:type="dxa"/>
          </w:tcPr>
          <w:p w:rsidR="009F2F75" w:rsidRPr="009F2F75" w:rsidRDefault="009F2F75" w:rsidP="00D27C5C">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9F2F75">
              <w:rPr>
                <w:rFonts w:asciiTheme="majorHAnsi" w:hAnsiTheme="majorHAnsi"/>
                <w:i/>
                <w:sz w:val="22"/>
                <w:szCs w:val="22"/>
              </w:rPr>
              <w:lastRenderedPageBreak/>
              <w:t>Basics of Financial Management for Small-Community Utilities</w:t>
            </w:r>
            <w:r w:rsidRPr="009F2F75">
              <w:rPr>
                <w:rFonts w:asciiTheme="majorHAnsi" w:hAnsiTheme="majorHAnsi"/>
                <w:sz w:val="22"/>
                <w:szCs w:val="22"/>
              </w:rPr>
              <w:t xml:space="preserve"> handbook (RCAP)</w:t>
            </w:r>
          </w:p>
          <w:p w:rsidR="009F2F75" w:rsidRPr="009F2F75" w:rsidRDefault="009F2F75" w:rsidP="00D27C5C">
            <w:pPr>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9F2F75" w:rsidRPr="009F2F75" w:rsidTr="00D27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 w:type="dxa"/>
          </w:tcPr>
          <w:p w:rsidR="009F2F75" w:rsidRPr="009F2F75" w:rsidRDefault="009F2F75" w:rsidP="00D27C5C">
            <w:pPr>
              <w:contextualSpacing/>
              <w:rPr>
                <w:rFonts w:asciiTheme="majorHAnsi" w:hAnsiTheme="majorHAnsi"/>
                <w:b w:val="0"/>
                <w:sz w:val="22"/>
                <w:szCs w:val="22"/>
              </w:rPr>
            </w:pPr>
            <w:r w:rsidRPr="009F2F75">
              <w:rPr>
                <w:rFonts w:asciiTheme="majorHAnsi" w:hAnsiTheme="majorHAnsi"/>
                <w:b w:val="0"/>
                <w:sz w:val="22"/>
                <w:szCs w:val="22"/>
              </w:rPr>
              <w:lastRenderedPageBreak/>
              <w:t>5</w:t>
            </w:r>
          </w:p>
        </w:tc>
        <w:tc>
          <w:tcPr>
            <w:tcW w:w="4251"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Define asset management and its advantages in tracking and maintaining infrastructure assets. Provide resources for developing a water system Asset Management Plan. Explain how asset management can inform a Capital Improvement Reserve and funding needs.</w:t>
            </w:r>
          </w:p>
        </w:tc>
        <w:tc>
          <w:tcPr>
            <w:tcW w:w="4527"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9F2F75">
              <w:rPr>
                <w:rFonts w:asciiTheme="majorHAnsi" w:hAnsiTheme="majorHAnsi"/>
                <w:sz w:val="22"/>
                <w:szCs w:val="22"/>
              </w:rPr>
              <w:t xml:space="preserve">Understand what asset management is and how it can benefit water systems. Be able to identify next steps and resources for creating an Asset Management Plan for your water system. </w:t>
            </w:r>
          </w:p>
        </w:tc>
        <w:tc>
          <w:tcPr>
            <w:tcW w:w="3984" w:type="dxa"/>
          </w:tcPr>
          <w:p w:rsidR="009F2F75" w:rsidRPr="009F2F75" w:rsidRDefault="009F2F75" w:rsidP="00D27C5C">
            <w:pPr>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r>
    </w:tbl>
    <w:p w:rsidR="009F2F75" w:rsidRDefault="009F2F75" w:rsidP="009F2F75">
      <w:pPr>
        <w:spacing w:after="60"/>
        <w:rPr>
          <w:rFonts w:asciiTheme="majorHAnsi" w:hAnsiTheme="majorHAnsi"/>
        </w:rPr>
      </w:pPr>
    </w:p>
    <w:p w:rsidR="009F2F75" w:rsidRPr="00B15857" w:rsidRDefault="009F2F75" w:rsidP="009F2F75">
      <w:pPr>
        <w:spacing w:after="60"/>
        <w:rPr>
          <w:rFonts w:asciiTheme="majorHAnsi" w:hAnsiTheme="majorHAnsi"/>
        </w:rPr>
      </w:pPr>
    </w:p>
    <w:p w:rsidR="009F2F75" w:rsidRDefault="009F2F75" w:rsidP="009F2F75"/>
    <w:p w:rsidR="009F2F75" w:rsidRDefault="009F2F75" w:rsidP="00845213">
      <w:pPr>
        <w:contextualSpacing/>
        <w:rPr>
          <w:rFonts w:asciiTheme="majorHAnsi" w:hAnsiTheme="majorHAnsi"/>
          <w:b/>
        </w:rPr>
      </w:pPr>
    </w:p>
    <w:sectPr w:rsidR="009F2F75" w:rsidSect="00247FB8">
      <w:footerReference w:type="default" r:id="rId8"/>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B7B" w:rsidRDefault="004C3B7B" w:rsidP="00AD681B">
      <w:pPr>
        <w:spacing w:after="0"/>
      </w:pPr>
      <w:r>
        <w:separator/>
      </w:r>
    </w:p>
  </w:endnote>
  <w:endnote w:type="continuationSeparator" w:id="0">
    <w:p w:rsidR="004C3B7B" w:rsidRDefault="004C3B7B" w:rsidP="00AD68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447006"/>
      <w:docPartObj>
        <w:docPartGallery w:val="Page Numbers (Bottom of Page)"/>
        <w:docPartUnique/>
      </w:docPartObj>
    </w:sdtPr>
    <w:sdtEndPr>
      <w:rPr>
        <w:rFonts w:asciiTheme="majorHAnsi" w:hAnsiTheme="majorHAnsi"/>
        <w:noProof/>
      </w:rPr>
    </w:sdtEndPr>
    <w:sdtContent>
      <w:p w:rsidR="00AD681B" w:rsidRPr="00AD681B" w:rsidRDefault="00AD681B">
        <w:pPr>
          <w:pStyle w:val="Footer"/>
          <w:jc w:val="right"/>
          <w:rPr>
            <w:rFonts w:asciiTheme="majorHAnsi" w:hAnsiTheme="majorHAnsi"/>
          </w:rPr>
        </w:pPr>
        <w:r w:rsidRPr="00AD681B">
          <w:rPr>
            <w:rFonts w:asciiTheme="majorHAnsi" w:hAnsiTheme="majorHAnsi"/>
            <w:sz w:val="22"/>
            <w:szCs w:val="22"/>
          </w:rPr>
          <w:fldChar w:fldCharType="begin"/>
        </w:r>
        <w:r w:rsidRPr="00AD681B">
          <w:rPr>
            <w:rFonts w:asciiTheme="majorHAnsi" w:hAnsiTheme="majorHAnsi"/>
            <w:sz w:val="22"/>
            <w:szCs w:val="22"/>
          </w:rPr>
          <w:instrText xml:space="preserve"> PAGE   \* MERGEFORMAT </w:instrText>
        </w:r>
        <w:r w:rsidRPr="00AD681B">
          <w:rPr>
            <w:rFonts w:asciiTheme="majorHAnsi" w:hAnsiTheme="majorHAnsi"/>
            <w:sz w:val="22"/>
            <w:szCs w:val="22"/>
          </w:rPr>
          <w:fldChar w:fldCharType="separate"/>
        </w:r>
        <w:r w:rsidR="009F2F75">
          <w:rPr>
            <w:rFonts w:asciiTheme="majorHAnsi" w:hAnsiTheme="majorHAnsi"/>
            <w:noProof/>
            <w:sz w:val="22"/>
            <w:szCs w:val="22"/>
          </w:rPr>
          <w:t>2</w:t>
        </w:r>
        <w:r w:rsidRPr="00AD681B">
          <w:rPr>
            <w:rFonts w:asciiTheme="majorHAnsi" w:hAnsiTheme="majorHAnsi"/>
            <w:noProof/>
            <w:sz w:val="22"/>
            <w:szCs w:val="22"/>
          </w:rPr>
          <w:fldChar w:fldCharType="end"/>
        </w:r>
      </w:p>
    </w:sdtContent>
  </w:sdt>
  <w:p w:rsidR="00AD681B" w:rsidRDefault="00AD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B7B" w:rsidRDefault="004C3B7B" w:rsidP="00AD681B">
      <w:pPr>
        <w:spacing w:after="0"/>
      </w:pPr>
      <w:r>
        <w:separator/>
      </w:r>
    </w:p>
  </w:footnote>
  <w:footnote w:type="continuationSeparator" w:id="0">
    <w:p w:rsidR="004C3B7B" w:rsidRDefault="004C3B7B" w:rsidP="00AD68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A04DE"/>
    <w:multiLevelType w:val="hybridMultilevel"/>
    <w:tmpl w:val="D4685700"/>
    <w:lvl w:ilvl="0" w:tplc="FD3EE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32ECF"/>
    <w:multiLevelType w:val="hybridMultilevel"/>
    <w:tmpl w:val="CD48ED58"/>
    <w:lvl w:ilvl="0" w:tplc="DD5A5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2E8"/>
    <w:multiLevelType w:val="hybridMultilevel"/>
    <w:tmpl w:val="652481DC"/>
    <w:lvl w:ilvl="0" w:tplc="DD5A5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BF44AE"/>
    <w:multiLevelType w:val="hybridMultilevel"/>
    <w:tmpl w:val="129C4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F5D5D"/>
    <w:multiLevelType w:val="hybridMultilevel"/>
    <w:tmpl w:val="114A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97C45"/>
    <w:multiLevelType w:val="hybridMultilevel"/>
    <w:tmpl w:val="594E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9F"/>
    <w:rsid w:val="0003348E"/>
    <w:rsid w:val="00054FE8"/>
    <w:rsid w:val="00091DD4"/>
    <w:rsid w:val="000B2CAD"/>
    <w:rsid w:val="000C5B75"/>
    <w:rsid w:val="00173E9F"/>
    <w:rsid w:val="001919B8"/>
    <w:rsid w:val="001C6929"/>
    <w:rsid w:val="00247FB8"/>
    <w:rsid w:val="00256DE9"/>
    <w:rsid w:val="00270276"/>
    <w:rsid w:val="002D2921"/>
    <w:rsid w:val="00334C9E"/>
    <w:rsid w:val="00343F52"/>
    <w:rsid w:val="003936A1"/>
    <w:rsid w:val="003A3E60"/>
    <w:rsid w:val="003D036E"/>
    <w:rsid w:val="003D3CFF"/>
    <w:rsid w:val="00455E5C"/>
    <w:rsid w:val="004C3B7B"/>
    <w:rsid w:val="004C6EFE"/>
    <w:rsid w:val="00532B9F"/>
    <w:rsid w:val="00543946"/>
    <w:rsid w:val="00555F8A"/>
    <w:rsid w:val="00570827"/>
    <w:rsid w:val="00630C06"/>
    <w:rsid w:val="00672238"/>
    <w:rsid w:val="006B4D7F"/>
    <w:rsid w:val="00785716"/>
    <w:rsid w:val="007D1E95"/>
    <w:rsid w:val="007D626D"/>
    <w:rsid w:val="007E019C"/>
    <w:rsid w:val="007F7EFE"/>
    <w:rsid w:val="00845213"/>
    <w:rsid w:val="0091776B"/>
    <w:rsid w:val="00956326"/>
    <w:rsid w:val="00986898"/>
    <w:rsid w:val="009A6B74"/>
    <w:rsid w:val="009F2F75"/>
    <w:rsid w:val="00A059BF"/>
    <w:rsid w:val="00A31AEA"/>
    <w:rsid w:val="00A86D1A"/>
    <w:rsid w:val="00AD681B"/>
    <w:rsid w:val="00AE051C"/>
    <w:rsid w:val="00AF1B32"/>
    <w:rsid w:val="00B063C9"/>
    <w:rsid w:val="00B15857"/>
    <w:rsid w:val="00B3289E"/>
    <w:rsid w:val="00B32E24"/>
    <w:rsid w:val="00BD29DA"/>
    <w:rsid w:val="00BE313C"/>
    <w:rsid w:val="00C12FBB"/>
    <w:rsid w:val="00C53CB1"/>
    <w:rsid w:val="00C61ACA"/>
    <w:rsid w:val="00D7269E"/>
    <w:rsid w:val="00DC7B29"/>
    <w:rsid w:val="00DD2853"/>
    <w:rsid w:val="00E323A3"/>
    <w:rsid w:val="00E534B6"/>
    <w:rsid w:val="00E55A88"/>
    <w:rsid w:val="00E57DCC"/>
    <w:rsid w:val="00E8229C"/>
    <w:rsid w:val="00EA72EE"/>
    <w:rsid w:val="00EC57DB"/>
    <w:rsid w:val="00F457EE"/>
    <w:rsid w:val="00FB655B"/>
    <w:rsid w:val="00FF45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32FAF-7074-4CA8-8B84-259FCE02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213"/>
    <w:pPr>
      <w:ind w:left="720"/>
      <w:contextualSpacing/>
    </w:pPr>
  </w:style>
  <w:style w:type="paragraph" w:styleId="BalloonText">
    <w:name w:val="Balloon Text"/>
    <w:basedOn w:val="Normal"/>
    <w:link w:val="BalloonTextChar"/>
    <w:uiPriority w:val="99"/>
    <w:semiHidden/>
    <w:unhideWhenUsed/>
    <w:rsid w:val="00343F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2"/>
    <w:rPr>
      <w:rFonts w:ascii="Tahoma" w:hAnsi="Tahoma" w:cs="Tahoma"/>
      <w:sz w:val="16"/>
      <w:szCs w:val="16"/>
    </w:rPr>
  </w:style>
  <w:style w:type="table" w:styleId="TableGrid">
    <w:name w:val="Table Grid"/>
    <w:basedOn w:val="TableNormal"/>
    <w:uiPriority w:val="59"/>
    <w:rsid w:val="00247F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47FB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247FB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1">
    <w:name w:val="Light Shading Accent 1"/>
    <w:basedOn w:val="TableNormal"/>
    <w:uiPriority w:val="60"/>
    <w:rsid w:val="00B063C9"/>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D681B"/>
    <w:pPr>
      <w:tabs>
        <w:tab w:val="center" w:pos="4680"/>
        <w:tab w:val="right" w:pos="9360"/>
      </w:tabs>
      <w:spacing w:after="0"/>
    </w:pPr>
  </w:style>
  <w:style w:type="character" w:customStyle="1" w:styleId="HeaderChar">
    <w:name w:val="Header Char"/>
    <w:basedOn w:val="DefaultParagraphFont"/>
    <w:link w:val="Header"/>
    <w:uiPriority w:val="99"/>
    <w:rsid w:val="00AD681B"/>
  </w:style>
  <w:style w:type="paragraph" w:styleId="Footer">
    <w:name w:val="footer"/>
    <w:basedOn w:val="Normal"/>
    <w:link w:val="FooterChar"/>
    <w:uiPriority w:val="99"/>
    <w:unhideWhenUsed/>
    <w:rsid w:val="00AD681B"/>
    <w:pPr>
      <w:tabs>
        <w:tab w:val="center" w:pos="4680"/>
        <w:tab w:val="right" w:pos="9360"/>
      </w:tabs>
      <w:spacing w:after="0"/>
    </w:pPr>
  </w:style>
  <w:style w:type="character" w:customStyle="1" w:styleId="FooterChar">
    <w:name w:val="Footer Char"/>
    <w:basedOn w:val="DefaultParagraphFont"/>
    <w:link w:val="Footer"/>
    <w:uiPriority w:val="99"/>
    <w:rsid w:val="00AD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747B-9AF4-4837-AFBD-231CA7E0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New Mexico Environment Department</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Marsee</dc:creator>
  <cp:lastModifiedBy>Pedro Archuleta</cp:lastModifiedBy>
  <cp:revision>2</cp:revision>
  <dcterms:created xsi:type="dcterms:W3CDTF">2019-05-31T20:00:00Z</dcterms:created>
  <dcterms:modified xsi:type="dcterms:W3CDTF">2019-05-31T20:00:00Z</dcterms:modified>
</cp:coreProperties>
</file>